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21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Администратор программы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</w:rPr>
        <w:t>дминистрация  Ильинского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ind w:left="64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Исполнители программы  </w:t>
      </w:r>
    </w:p>
    <w:p>
      <w:pPr>
        <w:pStyle w:val="Normal"/>
        <w:rPr/>
      </w:pPr>
      <w:r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экономики и муниципального хозяйства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образования администрации Ильинского муниципального района;</w:t>
      </w:r>
    </w:p>
    <w:p>
      <w:pPr>
        <w:pStyle w:val="ProTab"/>
        <w:numPr>
          <w:ilvl w:val="0"/>
          <w:numId w:val="2"/>
        </w:numPr>
        <w:pBdr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Отдел правового и кадрового обеспечения администрации Ильинского муниципального района ;</w:t>
      </w:r>
    </w:p>
    <w:p>
      <w:pPr>
        <w:pStyle w:val="ProTab"/>
        <w:numPr>
          <w:ilvl w:val="0"/>
          <w:numId w:val="2"/>
        </w:numPr>
        <w:pBdr/>
        <w:spacing w:before="40" w:after="40"/>
        <w:rPr/>
        <w:framePr w:w="9379" w:h="1954" w:x="0" w:y="579" w:wrap="auto" w:vAnchor="text" w:hAnchor="margin" w:hRule="exact"/>
      </w:pPr>
      <w:r>
        <w:rPr>
          <w:sz w:val="26"/>
          <w:szCs w:val="26"/>
        </w:rPr>
        <w:t>Финансовый отдел  Ильинского района</w:t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«Социальная поддержка граждан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Ильинском муниципальном районе»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210" w:leader="none"/>
        </w:tabs>
        <w:jc w:val="both"/>
        <w:rPr/>
      </w:pPr>
      <w:r>
        <w:rPr>
          <w:sz w:val="28"/>
          <w:szCs w:val="28"/>
        </w:rPr>
        <w:t>Цели и задачи  муниципальной программы: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Денежные средства, выделенные на 201</w:t>
      </w:r>
      <w:r>
        <w:rPr>
          <w:sz w:val="28"/>
          <w:lang w:val="en-US"/>
        </w:rPr>
        <w:t>9</w:t>
      </w:r>
      <w:r>
        <w:rPr>
          <w:sz w:val="28"/>
        </w:rPr>
        <w:t xml:space="preserve"> г., израсходованы в полном объеме.</w:t>
      </w:r>
    </w:p>
    <w:p>
      <w:pPr>
        <w:pStyle w:val="ListParagraph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>Плановые показатели выполнены.</w:t>
      </w:r>
    </w:p>
    <w:p>
      <w:pPr>
        <w:pStyle w:val="Normal"/>
        <w:tabs>
          <w:tab w:val="left" w:pos="321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Обеспечение предоставления социальных гарантий и мер социальной поддержки отдельным категориям граждан.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творческих способностей детей, патриотическому и нравственному воспитанию, привлечению к активной общественной деятельности.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>Организация отдыха и оздоровления детей и подростков.</w:t>
      </w:r>
    </w:p>
    <w:p>
      <w:pPr>
        <w:pStyle w:val="Normal"/>
        <w:numPr>
          <w:ilvl w:val="0"/>
          <w:numId w:val="3"/>
        </w:numPr>
        <w:pBdr/>
        <w:jc w:val="both"/>
        <w:rPr/>
        <w:framePr w:w="9450" w:h="3220" w:x="1516" w:y="147" w:wrap="auto" w:vAnchor="text" w:hAnchor="page" w:hRule="exac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молодых специалистов на работу в организации   и предприятия района.</w:t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rPr>
          <w:sz w:val="28"/>
          <w:szCs w:val="28"/>
        </w:rPr>
        <w:framePr w:w="9450" w:h="3220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tabs>
          <w:tab w:val="left" w:pos="3210" w:leader="none"/>
        </w:tabs>
        <w:ind w:firstLine="142"/>
        <w:rPr>
          <w:sz w:val="28"/>
          <w:szCs w:val="28"/>
        </w:rPr>
        <w:framePr w:w="9599" w:h="322" w:x="127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pBdr/>
        <w:ind w:left="643" w:hanging="0"/>
        <w:jc w:val="both"/>
        <w:rPr>
          <w:sz w:val="28"/>
          <w:szCs w:val="28"/>
        </w:rPr>
        <w:framePr w:w="666" w:h="322" w:x="1516" w:y="147" w:wrap="auto" w:vAnchor="text" w:hAnchor="page" w:hRule="exact"/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за 2019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20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540"/>
        <w:gridCol w:w="3421"/>
        <w:gridCol w:w="912"/>
        <w:gridCol w:w="1595"/>
        <w:gridCol w:w="1595"/>
        <w:gridCol w:w="2556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подпрограммы (мероприятия) целевого индикатора (показателя)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Ед. изм.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факт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отклонений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которым предоставляет двухразовое питание в ЛДП (всего)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155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2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Общая численность детей, направленных на отдых и оздоровление  в санаторно-оздоровительные лагеря круглосуточного действия и загородные оздоровительные лагеря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3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детей из многодетных семей, получивших компенсацию на питание в образовательных учреждениях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 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семей, получивших компенсационные выплаты на содержание детей в образовательных учреждениях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Чел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tbl>
      <w:tblPr>
        <w:tblW w:w="10685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756"/>
        <w:gridCol w:w="3744"/>
        <w:gridCol w:w="717"/>
        <w:gridCol w:w="1557"/>
        <w:gridCol w:w="1552"/>
        <w:gridCol w:w="2358"/>
      </w:tblGrid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качества жизни граждан пожилого возраста»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 - участников мероприятий, связанных с государственными праздниками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 граждан, замещающих муниципальные должности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ProTab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возраста, прошедших обучение в школах здоровья на базе учреждений культуры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ProTab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граждан пожилого возраста, получивших услуги межведомственных мобильных консультационных бригад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ProTab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>
          <w:b/>
          <w:b/>
          <w:sz w:val="30"/>
          <w:szCs w:val="30"/>
        </w:rPr>
      </w:pPr>
      <w:r>
        <w:rPr/>
      </w:r>
    </w:p>
    <w:p>
      <w:pPr>
        <w:pStyle w:val="Normal"/>
        <w:ind w:hanging="284"/>
        <w:jc w:val="center"/>
        <w:rPr/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8"/>
          <w:szCs w:val="28"/>
        </w:rPr>
        <w:t>Название программы:</w:t>
      </w:r>
      <w:r>
        <w:rPr>
          <w:b/>
        </w:rPr>
        <w:t xml:space="preserve"> «</w:t>
      </w:r>
      <w:r>
        <w:rPr>
          <w:b/>
          <w:sz w:val="28"/>
          <w:szCs w:val="28"/>
        </w:rPr>
        <w:t>Социальная поддержка граждан  в Ильинском муниципальном районе»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  <w:sz w:val="28"/>
          <w:szCs w:val="28"/>
        </w:rPr>
        <w:t>Название подпрограммы</w:t>
      </w:r>
      <w:r>
        <w:rPr>
          <w:b/>
        </w:rPr>
        <w:t xml:space="preserve"> «Дети Ильинского района»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2420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2158"/>
        <w:gridCol w:w="1621"/>
        <w:gridCol w:w="2160"/>
        <w:gridCol w:w="1798"/>
        <w:gridCol w:w="1621"/>
        <w:gridCol w:w="1439"/>
        <w:gridCol w:w="3"/>
        <w:gridCol w:w="1619"/>
      </w:tblGrid>
      <w:tr>
        <w:trPr/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(план), тыс.руб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(факт), тыс.руб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тыс.руб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Организация работы лагерей дневного пребывания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358,050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358,050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150,150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150, 150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Подготовка лагерей дневного пребывания к работе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89,850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89,850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89,850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89,850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Мероприятия с детьми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Подвоз детей в санатории, на массовые областные, межрегиональные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Трудоустройство несовершеннолетних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Отдел образования администрации Ильинского муниципального района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30,000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557,900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557,900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350,000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350,000</w:t>
            </w:r>
          </w:p>
        </w:tc>
        <w:tc>
          <w:tcPr>
            <w:tcW w:w="1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207,900</w:t>
            </w:r>
          </w:p>
        </w:tc>
        <w:tc>
          <w:tcPr>
            <w:tcW w:w="1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ind w:left="54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hanging="180"/>
        <w:jc w:val="both"/>
        <w:rPr/>
      </w:pPr>
      <w:r>
        <w:rPr/>
      </w:r>
    </w:p>
    <w:p>
      <w:pPr>
        <w:pStyle w:val="Normal"/>
        <w:ind w:left="54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Название подпрограммы: «Повышение качества жизни граждан пожилого возраста»</w:t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60"/>
        <w:gridCol w:w="1803"/>
        <w:gridCol w:w="1371"/>
        <w:gridCol w:w="1589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Мероприятие 1</w:t>
            </w:r>
          </w:p>
          <w:p>
            <w:pPr>
              <w:pStyle w:val="Normal"/>
              <w:rPr/>
            </w:pPr>
            <w:r>
              <w:rPr/>
              <w:t>Пенсионное обеспечение граждан , замещающих муниципальные должности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 (тыс.рублей)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1930,1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1904,0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Обеспечены пенсиями 100% </w:t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1930,1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1904,0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ind w:left="-357" w:firstLine="39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6" w:hRule="atLeast"/>
        </w:trPr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Мероприятие 2</w:t>
            </w:r>
          </w:p>
          <w:p>
            <w:pPr>
              <w:pStyle w:val="Normal"/>
              <w:rPr/>
            </w:pPr>
            <w:r>
              <w:rPr/>
              <w:t>Организация работы Совета ветеранов войны, труда , Вооруженных Сил и правоохранительных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90,0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483" w:hRule="atLeast"/>
        </w:trPr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Мероприятие 3</w:t>
            </w:r>
          </w:p>
          <w:p>
            <w:pPr>
              <w:pStyle w:val="Normal"/>
              <w:rPr/>
            </w:pPr>
            <w:r>
              <w:rPr/>
              <w:t>Организация работы Ильинской районной общественной организации Всероссийского общества инвалидов органов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65,0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704" w:type="dxa"/>
        <w:jc w:val="left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2160"/>
        <w:gridCol w:w="1620"/>
        <w:gridCol w:w="2172"/>
        <w:gridCol w:w="1791"/>
        <w:gridCol w:w="1371"/>
        <w:gridCol w:w="1589"/>
      </w:tblGrid>
      <w:tr>
        <w:trPr/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по подпрограмме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«Повышение качества жизни граждан пожилого возраста»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2085,1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2059,0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2085,1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2059,0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2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3210" w:leader="none"/>
        </w:tabs>
        <w:rPr/>
      </w:pPr>
      <w:r>
        <w:rPr/>
      </w:r>
    </w:p>
    <w:p>
      <w:pPr>
        <w:pStyle w:val="Normal"/>
        <w:tabs>
          <w:tab w:val="left" w:pos="3210" w:leader="none"/>
        </w:tabs>
        <w:rPr/>
      </w:pPr>
      <w:r>
        <w:rPr/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Всего по программе  </w:t>
      </w:r>
      <w:r>
        <w:rPr>
          <w:b/>
          <w:sz w:val="28"/>
          <w:szCs w:val="28"/>
          <w:u w:val="none"/>
        </w:rPr>
        <w:t>«</w:t>
      </w:r>
      <w:r>
        <w:rPr>
          <w:b/>
          <w:sz w:val="28"/>
          <w:szCs w:val="28"/>
          <w:u w:val="none"/>
          <w:lang w:val="ru-RU"/>
        </w:rPr>
        <w:t>Социальная поддержка граждан в Ильинском муниципальном районе</w:t>
      </w:r>
      <w:r>
        <w:rPr>
          <w:b/>
          <w:sz w:val="28"/>
          <w:szCs w:val="28"/>
          <w:u w:val="none"/>
        </w:rPr>
        <w:t>»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942" w:type="dxa"/>
        <w:jc w:val="left"/>
        <w:tblInd w:w="9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880"/>
        <w:gridCol w:w="2232"/>
        <w:gridCol w:w="1800"/>
        <w:gridCol w:w="2029"/>
      </w:tblGrid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существенных отклонений</w:t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2643,0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2616,9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2435,1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2409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207,9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207,9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210" w:leader="none"/>
        </w:tabs>
        <w:ind w:left="180" w:right="0" w:hanging="180"/>
        <w:jc w:val="both"/>
        <w:rPr/>
      </w:pPr>
      <w:r>
        <w:rPr/>
      </w:r>
    </w:p>
    <w:sectPr>
      <w:type w:val="nextPage"/>
      <w:pgSz w:w="11906" w:h="16838"/>
      <w:pgMar w:left="993" w:right="127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818" w:hanging="360"/>
      </w:pPr>
    </w:lvl>
    <w:lvl w:ilvl="1">
      <w:start w:val="1"/>
      <w:numFmt w:val="lowerLetter"/>
      <w:lvlText w:val="%2."/>
      <w:lvlJc w:val="left"/>
      <w:pPr>
        <w:ind w:left="1538" w:hanging="360"/>
      </w:pPr>
    </w:lvl>
    <w:lvl w:ilvl="2">
      <w:start w:val="1"/>
      <w:numFmt w:val="lowerRoman"/>
      <w:lvlText w:val="%3."/>
      <w:lvlJc w:val="right"/>
      <w:pPr>
        <w:ind w:left="2258" w:hanging="180"/>
      </w:pPr>
    </w:lvl>
    <w:lvl w:ilvl="3">
      <w:start w:val="1"/>
      <w:numFmt w:val="decimal"/>
      <w:lvlText w:val="%4."/>
      <w:lvlJc w:val="left"/>
      <w:pPr>
        <w:ind w:left="2978" w:hanging="360"/>
      </w:pPr>
    </w:lvl>
    <w:lvl w:ilvl="4">
      <w:start w:val="1"/>
      <w:numFmt w:val="lowerLetter"/>
      <w:lvlText w:val="%5."/>
      <w:lvlJc w:val="left"/>
      <w:pPr>
        <w:ind w:left="3698" w:hanging="360"/>
      </w:pPr>
    </w:lvl>
    <w:lvl w:ilvl="5">
      <w:start w:val="1"/>
      <w:numFmt w:val="lowerRoman"/>
      <w:lvlText w:val="%6."/>
      <w:lvlJc w:val="right"/>
      <w:pPr>
        <w:ind w:left="4418" w:hanging="180"/>
      </w:pPr>
    </w:lvl>
    <w:lvl w:ilvl="6">
      <w:start w:val="1"/>
      <w:numFmt w:val="decimal"/>
      <w:lvlText w:val="%7."/>
      <w:lvlJc w:val="left"/>
      <w:pPr>
        <w:ind w:left="5138" w:hanging="360"/>
      </w:pPr>
    </w:lvl>
    <w:lvl w:ilvl="7">
      <w:start w:val="1"/>
      <w:numFmt w:val="lowerLetter"/>
      <w:lvlText w:val="%8."/>
      <w:lvlJc w:val="left"/>
      <w:pPr>
        <w:ind w:left="5858" w:hanging="360"/>
      </w:pPr>
    </w:lvl>
    <w:lvl w:ilvl="8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0fd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147c7f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a92d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Times New Roman" w:cs="Times New Roman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eastAsia="Times New Roman" w:cs="Times New Roman"/>
      <w:sz w:val="28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eastAsia="Times New Roman" w:cs="Times New Roman"/>
      <w:sz w:val="28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  <w:sz w:val="28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eastAsia="Times New Roman" w:cs="Times New Roman"/>
      <w:sz w:val="28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8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eastAsia="Times New Roman" w:cs="Times New Roman"/>
      <w:sz w:val="28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  <w:sz w:val="28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eastAsia="Times New Roman" w:cs="Times New Roman"/>
      <w:sz w:val="28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  <w:sz w:val="28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eastAsia="Times New Roman" w:cs="Times New Roman"/>
      <w:sz w:val="28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  <w:sz w:val="28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eastAsia="Times New Roman" w:cs="Times New Roman"/>
      <w:sz w:val="28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  <w:sz w:val="28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eastAsia="Times New Roman" w:cs="Times New Roman"/>
      <w:sz w:val="28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  <w:sz w:val="28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eastAsia="Times New Roman" w:cs="Times New Roman"/>
      <w:sz w:val="28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147c7f"/>
    <w:pPr>
      <w:pBdr>
        <w:bottom w:val="single" w:sz="48" w:space="18" w:color="C4161C"/>
      </w:pBdr>
      <w:spacing w:before="0" w:after="800"/>
      <w:ind w:left="1678" w:hanging="0"/>
      <w:jc w:val="right"/>
      <w:outlineLvl w:val="0"/>
    </w:pPr>
    <w:rPr>
      <w:b/>
      <w:bCs/>
      <w:sz w:val="40"/>
      <w:szCs w:val="40"/>
    </w:rPr>
  </w:style>
  <w:style w:type="paragraph" w:styleId="ProTab" w:customStyle="1">
    <w:name w:val="Pro-Tab"/>
    <w:basedOn w:val="Normal"/>
    <w:qFormat/>
    <w:rsid w:val="00147c7f"/>
    <w:pPr>
      <w:spacing w:before="40" w:after="4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7c7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f15e93"/>
    <w:pPr>
      <w:widowControl w:val="false"/>
      <w:bidi w:val="0"/>
      <w:spacing w:before="0" w:after="0"/>
      <w:jc w:val="left"/>
    </w:pPr>
    <w:rPr>
      <w:rFonts w:ascii="Arial" w:hAnsi="Arial" w:eastAsia="Calibri" w:cs="Arial" w:eastAsiaTheme="minorHAnsi"/>
      <w:color w:val="00000A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8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a92d93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15e93"/>
    <w:pPr>
      <w:spacing w:after="0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092-B905-4B50-B046-5610A3DB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LibreOffice/5.4.4.2$Windows_x86 LibreOffice_project/2524958677847fb3bb44820e40380acbe820f960</Application>
  <Pages>7</Pages>
  <Words>755</Words>
  <Characters>5613</Characters>
  <CharactersWithSpaces>6162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2018-08-06T13:00:00Z</dcterms:created>
  <dc:creator>Пользователь</dc:creator>
  <dc:description/>
  <dc:language>ru-RU</dc:language>
  <cp:lastModifiedBy/>
  <cp:lastPrinted>2020-05-22T16:05:24Z</cp:lastPrinted>
  <dcterms:modified xsi:type="dcterms:W3CDTF">2020-05-22T16:09:10Z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