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1121_1718946766"/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 xml:space="preserve">Развитие музейного дела и туризма </w:t>
      </w:r>
      <w:r>
        <w:rPr>
          <w:b/>
          <w:sz w:val="28"/>
          <w:szCs w:val="28"/>
        </w:rPr>
        <w:t xml:space="preserve">в Ильинском муниципальном районе </w:t>
      </w:r>
      <w:r>
        <w:rPr>
          <w:b/>
          <w:sz w:val="28"/>
          <w:szCs w:val="28"/>
          <w:lang w:val="ru-RU"/>
        </w:rPr>
        <w:t>на 2017 — 2020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музейного обслуживания населения в  Ильинского муниципального района»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004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rFonts w:eastAsia="Liberation Serif;Times New Roman" w:cs="Liberation Serif;Times New Roman"/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 Ильинского муниципального района</w:t>
      </w:r>
    </w:p>
    <w:p>
      <w:pPr>
        <w:pStyle w:val="Normal"/>
        <w:tabs>
          <w:tab w:val="left" w:pos="720" w:leader="none"/>
        </w:tabs>
        <w:ind w:left="36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4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>
      <w:pPr>
        <w:pStyle w:val="Normal"/>
        <w:ind w:left="644" w:right="0" w:hanging="0"/>
        <w:rPr>
          <w:rFonts w:ascii="Times New Roman" w:hAnsi="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Муниципальное казённое учреждение «Ильинский краеведческий музей» Ильинского района  Ивановской области</w:t>
      </w:r>
      <w:r>
        <w:rPr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Муниципальное учреждение культуры Социально-культурное объединение Ильинского городского поселения» Ильинского района Ивановской области.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644" w:hanging="0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  <w:lang w:val="en-US"/>
        </w:rPr>
      </w:pPr>
      <w:bookmarkStart w:id="1" w:name="_GoBack"/>
      <w:bookmarkStart w:id="2" w:name="_GoBack"/>
      <w:bookmarkEnd w:id="2"/>
      <w:r>
        <w:rPr>
          <w:rFonts w:eastAsia="Liberation Serif;Times New Roman" w:cs="Liberation Serif;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Отчетный год       </w:t>
      </w:r>
      <w:r>
        <w:rPr>
          <w:sz w:val="28"/>
          <w:szCs w:val="28"/>
        </w:rPr>
        <w:t>2017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Дата подготовки отчета  </w:t>
      </w:r>
      <w:r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  <w:lang w:val="en-US"/>
        </w:rPr>
        <w:t>12.03.</w:t>
      </w:r>
      <w:r>
        <w:rPr>
          <w:sz w:val="28"/>
          <w:szCs w:val="28"/>
          <w:u w:val="none"/>
        </w:rPr>
        <w:t>201</w:t>
      </w:r>
      <w:r>
        <w:rPr>
          <w:sz w:val="28"/>
          <w:szCs w:val="28"/>
          <w:u w:val="none"/>
          <w:lang w:val="ru-RU"/>
        </w:rPr>
        <w:t xml:space="preserve">8 </w:t>
      </w:r>
      <w:r>
        <w:rPr>
          <w:sz w:val="28"/>
          <w:szCs w:val="28"/>
          <w:u w:val="none"/>
        </w:rPr>
        <w:t xml:space="preserve">г. </w:t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  <w:r>
        <w:rPr>
          <w:sz w:val="22"/>
          <w:szCs w:val="22"/>
          <w:lang w:val="ru-RU"/>
        </w:rPr>
        <w:t xml:space="preserve">Н.Д. Макарчук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Т</w:t>
      </w:r>
      <w:r>
        <w:rPr>
          <w:sz w:val="22"/>
          <w:szCs w:val="22"/>
        </w:rPr>
        <w:t xml:space="preserve">.(849353)2-11-38, </w:t>
      </w:r>
    </w:p>
    <w:p>
      <w:pPr>
        <w:pStyle w:val="Normal"/>
        <w:tabs>
          <w:tab w:val="left" w:pos="3210" w:leader="none"/>
        </w:tabs>
        <w:rPr/>
      </w:pPr>
      <w:r>
        <w:rPr>
          <w:sz w:val="22"/>
          <w:szCs w:val="22"/>
        </w:rPr>
        <w:tab/>
        <w:t xml:space="preserve">      эл. почта</w:t>
      </w:r>
      <w:r>
        <w:rPr>
          <w:sz w:val="22"/>
          <w:szCs w:val="22"/>
          <w:lang w:val="en-US"/>
        </w:rPr>
        <w:t xml:space="preserve">: </w:t>
      </w:r>
      <w:hyperlink r:id="rId2">
        <w:r>
          <w:rPr>
            <w:rStyle w:val="Style16"/>
            <w:sz w:val="22"/>
            <w:szCs w:val="22"/>
          </w:rPr>
          <w:t>makarchuk.nina@mail.ru</w:t>
        </w:r>
      </w:hyperlink>
      <w:r>
        <w:rPr>
          <w:sz w:val="22"/>
          <w:szCs w:val="22"/>
          <w:lang w:val="en-US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 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 xml:space="preserve">в Ильинском муниципальном районе </w:t>
      </w:r>
      <w:r>
        <w:rPr>
          <w:b/>
          <w:sz w:val="24"/>
          <w:szCs w:val="24"/>
          <w:lang w:val="ru-RU"/>
        </w:rPr>
        <w:t>на 2017 — 2018 годы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Цели и задачи программы: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 развитию музейного дела и туризма в Ильинском муниципальном районе и создание  условий для эффективного функционирования в соответствие с запросами населения,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сохранение национального культурного достояния и культурных ценностей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хранящихся в МКУ «Ильинский краеведческий музей».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эффективное использование культурных ресурсов музея для содействия социально-экономическому, общественно-политическому и культурно-историческому развитию Ивановской области и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активизация работы музея с институтами  гражданского общества, развитие историко-краеведческого движения и деятельности по патриотическому воспитанию подрастающего поколения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привлекательности и комфортности музея и района в целом  для посетителей;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укрепление материально-технической базы музея;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активное включение музея в социально-экономическое развитие муниципалитета;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стимулирование активности музеев в сфере образовательной деятельности и на рынке досуговых услуг;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 туристических маршрутов  в историческом центре п. Ильинское –Хованское;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разработка туристических маршрутов на территории 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инфраструктуры Ильинского муниципального района с целью создания привлекательности района  для развития  въездного туризма;</w:t>
      </w:r>
    </w:p>
    <w:p>
      <w:pPr>
        <w:pStyle w:val="Western"/>
        <w:numPr>
          <w:ilvl w:val="0"/>
          <w:numId w:val="2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сохранение и реставрация памятников архитектуры </w:t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erif;Times New Roman" w:cs="Liberation Serif;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Мероприятия  программы в основном выполнены. </w:t>
      </w:r>
      <w:r>
        <w:rPr>
          <w:sz w:val="24"/>
          <w:szCs w:val="24"/>
          <w:lang w:val="ru-RU"/>
        </w:rPr>
        <w:t xml:space="preserve">Разработаны и действуют два туристических маршрута: «Ильинское — капелька Руси» и «Линяя обороны». </w:t>
      </w:r>
    </w:p>
    <w:p>
      <w:pPr>
        <w:pStyle w:val="Normal"/>
        <w:ind w:left="-284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В рамках этих туристических маршрутов проводятся мероприятия на базе Ильинского Дома ремёсел и Ильинского краеведческого музея, а так же  пешая экскурсия по историческому центру посёлка. Плюсом к выполнению программы стала благоустроенность центра посёлка, в частности благоустройство центральной площади, асфальтированные пешеходные дорожки до Ильинского краеведческого музея, введение в эксплуатацию Ильинской автостанции, что способствует положительному имиджу посёлка и привлекательности его для туристов.</w:t>
      </w:r>
    </w:p>
    <w:p>
      <w:pPr>
        <w:pStyle w:val="Normal"/>
        <w:ind w:left="-284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В Ильинском Доме ремёсел производится сувенирная продукция с логотипом п. Ильинское — Хованское, проводятся мастер-классы для посетителей, ярмарки   и презентации выставок местных мастеров.  Мастера Дома ремёсел принимают участия в областных и межрегиональных ярмарках, рекламируя изделия Ильинских умельцев и района в целом, распространяя буклеты  о привлекательных для туристов местах в районе.  В рамках программы изготовлен роллерный стенд «Ильинский муниципальный район», который так же используется на ярмарках. При Доме ремёсел работает магазин сувенирной продукции.   Богатые фонды Ильинского краеведческого музея и новые формы работы привлекают новых  посетителей. В 2017 году Ильинским музеем приобретены компьютерные колонки, цифровой фотоаппарат и  многофункциональный аппарат (сканер, принтер, ксерокс), что позволило вывести работу музея на более современный уровень.  Музей принял участие во Всероссийской акции «Ночь в музее» и районном молодёжном квесте «Памяти павших». В рамках проведения Дня посёлка прошло событийное мероприятие «Ильинская ярмарка», на которой были представлены работы мастеров и студийцев Ильинского и Аньковского домов ремёсел, продукция ОАО «Аньковское», ООО «КФХ Кулачево»,  ЗАО «Гарское», в это время в Ильинском Доме ремесел состоялась презентация выставки «Мастера земли Ильинской», а в Ильинском   краеведческом музее проводились экскурсии по выставке «Художники трёх поколений» (по картинам семьи Севостьяновых),   что так же способствовало  раскрытию потенциала Ильинского муниципального района.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Программы «</w:t>
      </w:r>
      <w:r>
        <w:rPr>
          <w:b/>
          <w:sz w:val="24"/>
          <w:szCs w:val="24"/>
          <w:lang w:val="ru-RU"/>
        </w:rPr>
        <w:t xml:space="preserve">Развития музейного дела и туризма в </w:t>
      </w:r>
      <w:r>
        <w:rPr>
          <w:b/>
          <w:sz w:val="24"/>
          <w:szCs w:val="24"/>
        </w:rPr>
        <w:t xml:space="preserve">Ильинском муниципальном районе»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70" w:type="dxa"/>
        <w:jc w:val="left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93"/>
        <w:gridCol w:w="3214"/>
        <w:gridCol w:w="1869"/>
        <w:gridCol w:w="1328"/>
        <w:gridCol w:w="1315"/>
        <w:gridCol w:w="2250"/>
      </w:tblGrid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посещаемости музейных мероприятий (по сравнению с предыдущим годом на одного жителя в год),  (процентов)</w:t>
            </w:r>
          </w:p>
          <w:p>
            <w:pPr>
              <w:pStyle w:val="Pro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число выставочных проектов в МКУ «Ильинский краеведческий музей»,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музея с учётом современных требований  (процентов)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взрослого населения,  привлекаемая  к участию в мероприятиях музея к общему числу по</w:t>
            </w:r>
            <w:r>
              <w:rPr>
                <w:sz w:val="24"/>
                <w:szCs w:val="24"/>
                <w:lang w:val="ru-RU"/>
              </w:rPr>
              <w:t>сещений</w:t>
            </w:r>
            <w:r>
              <w:rPr>
                <w:sz w:val="24"/>
                <w:szCs w:val="24"/>
              </w:rPr>
              <w:t xml:space="preserve">  (процентов)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доля выездных мероприятий МКУ «Ильинский краеведческий музей» к общему количеству мероприятий: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созданных туристических маршрутов: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35" w:type="dxa"/>
        <w:jc w:val="left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81"/>
        <w:gridCol w:w="3345"/>
        <w:gridCol w:w="1645"/>
        <w:gridCol w:w="1285"/>
        <w:gridCol w:w="1274"/>
        <w:gridCol w:w="2504"/>
      </w:tblGrid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 xml:space="preserve">Организация музейного обслуживания населения Ильинского муниципального 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74" w:before="86" w:after="0"/>
              <w:ind w:left="0" w:right="10" w:hanging="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Количество потребителей с учётом выездных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индивидуальных посещений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экскурсионных посещений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посещения выставок вне музея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Предпочтение руководителей  учреждений посетить выставки в музее.</w:t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экскурсий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0,007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выставок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>«Организация и развитие туризма на территории Ильинского муниципального района»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Количество и создание туристических маршрутов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туристических экскурсий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событийных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ru-RU"/>
        </w:rPr>
        <w:t>Оц</w:t>
      </w:r>
      <w:r>
        <w:rPr>
          <w:b/>
          <w:sz w:val="24"/>
          <w:szCs w:val="24"/>
        </w:rPr>
        <w:t xml:space="preserve">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программы: 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>в Ильинском муниципальном районе»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подпрограм</w:t>
      </w:r>
      <w:r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</w:rPr>
        <w:t xml:space="preserve">:  « </w:t>
      </w:r>
      <w:r>
        <w:rPr>
          <w:b/>
          <w:sz w:val="24"/>
          <w:szCs w:val="24"/>
          <w:lang w:val="ru-RU"/>
        </w:rPr>
        <w:t>Организация музейного обслуживания населения Ильинского муниципального района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"</w:t>
      </w:r>
      <w:r>
        <w:rPr>
          <w:b/>
          <w:sz w:val="24"/>
          <w:szCs w:val="24"/>
          <w:lang w:val="ru-RU"/>
        </w:rPr>
        <w:t>Организация и развитие туризма  на территории Ильинского муниципального района</w:t>
      </w:r>
      <w:r>
        <w:rPr>
          <w:b/>
          <w:sz w:val="24"/>
          <w:szCs w:val="24"/>
        </w:rPr>
        <w:t>"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62" w:type="dxa"/>
        <w:jc w:val="left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89"/>
        <w:gridCol w:w="1621"/>
        <w:gridCol w:w="2160"/>
        <w:gridCol w:w="1800"/>
        <w:gridCol w:w="1371"/>
        <w:gridCol w:w="1320"/>
      </w:tblGrid>
      <w:tr>
        <w:trPr/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муниципального казённого  учреждения культуры «Ильинский краеведческий музей» 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738 400.00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834 262,24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738 400.00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761 040,21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73 222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lineRule="exact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Организация обеспечения деятельности МКУ «Ильинский краеведческий музей»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267 500.00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233 339,71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267 500.00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233 339,71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81 000.00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160 000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81 000.00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160 000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9 400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9 400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59 800.00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38 989,71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59 800.00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38 989,71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5 700.00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4 700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5 700.00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4 700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20 250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10 000.00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20250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Иные выплаты 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500.00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 по подпрограмме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>
              <w:rPr>
                <w:b/>
                <w:sz w:val="24"/>
                <w:szCs w:val="24"/>
                <w:lang w:val="ru-RU"/>
              </w:rPr>
              <w:t>Организация музейного обслуживания населения Ильинского муниципального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435500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1227719,66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435500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1154497,66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bookmarkStart w:id="3" w:name="__DdeLink__2999_1843411608"/>
            <w:bookmarkEnd w:id="3"/>
            <w:r>
              <w:rPr>
                <w:b/>
                <w:sz w:val="24"/>
                <w:szCs w:val="24"/>
              </w:rPr>
              <w:t>73 222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программы 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Развитие музейного дела и туризма в Ильинском муниципальном районе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подпрограммы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Организация и развитие туризма на территории Ильинского муниципального района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50" w:type="dxa"/>
        <w:jc w:val="left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160"/>
        <w:gridCol w:w="1620"/>
        <w:gridCol w:w="2160"/>
        <w:gridCol w:w="1800"/>
        <w:gridCol w:w="1620"/>
        <w:gridCol w:w="1489"/>
      </w:tblGrid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 т. руб.)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 т.руб.)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Мероприятия по созданию туристических маршрутов в т. ч.: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организация и проведение информационно-рекламных мероприятий, презентаций , публикаций в СМИ,  изготовление информационно-рекламной продукции, </w:t>
            </w:r>
            <w:r>
              <w:rPr>
                <w:b w:val="false"/>
                <w:bCs w:val="false"/>
                <w:color w:val="000000"/>
                <w:spacing w:val="4"/>
                <w:sz w:val="24"/>
                <w:szCs w:val="24"/>
              </w:rPr>
              <w:t>изготовление информационных щитов и баннеров о туристических объектах  Ильинского района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Администра-ция Ильинского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Отсутствие финансирование в бюджете района.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Развитие музейного дела и туризма в Ильинском муниципальном районе на 2017 -2020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455500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1231719,66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455500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1158497,66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73 222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ascii="Times New Roman" w:hAnsi="Times New Roman" w:cs="Symbol"/>
      <w:sz w:val="28"/>
      <w:szCs w:val="28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Wingdings"/>
      <w:b/>
      <w:sz w:val="28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Times New Roman" w:hAnsi="Times New Roman" w:cs="Symbol"/>
      <w:sz w:val="28"/>
      <w:szCs w:val="28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Wingdings"/>
      <w:b/>
      <w:sz w:val="28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Times New Roman" w:hAnsi="Times New Roman" w:cs="Symbol"/>
      <w:sz w:val="28"/>
      <w:szCs w:val="28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Wingdings"/>
      <w:b/>
      <w:sz w:val="28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ProTab">
    <w:name w:val="Pro-Tab"/>
    <w:basedOn w:val="Normal"/>
    <w:qFormat/>
    <w:pPr>
      <w:spacing w:before="40" w:after="40"/>
      <w:contextualSpacing/>
    </w:pPr>
    <w:rPr>
      <w:rFonts w:ascii="Tahoma" w:hAnsi="Tahoma" w:cs="Tahoma"/>
      <w:sz w:val="16"/>
      <w:lang w:val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60" w:after="280"/>
      <w:ind w:left="0" w:right="0" w:firstLine="720"/>
      <w:jc w:val="both"/>
    </w:pPr>
    <w:rPr>
      <w:rFonts w:ascii="Arial" w:hAnsi="Arial" w:eastAsia="Calibri" w:cs="Arial"/>
    </w:rPr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karchuk.nin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LibreOffice/5.2.3.3$Windows_x86 LibreOffice_project/d54a8868f08a7b39642414cf2c8ef2f228f780cf</Application>
  <Pages>16</Pages>
  <Words>1226</Words>
  <Characters>8732</Characters>
  <CharactersWithSpaces>9808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2018-08-02T12:54:36Z</cp:lastPrinted>
  <dcterms:modified xsi:type="dcterms:W3CDTF">2018-08-02T12:57:05Z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