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media/image9.jpeg" ContentType="image/jpeg"/>
  <Override PartName="/word/media/image1.jpeg" ContentType="image/jpeg"/>
  <Override PartName="/word/media/image2.jpeg" ContentType="image/jpeg"/>
  <Override PartName="/word/media/image5.png" ContentType="image/png"/>
  <Override PartName="/word/media/image3.jpeg" ContentType="image/jpeg"/>
  <Override PartName="/word/media/image4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png" ContentType="image/png"/>
  <Override PartName="/word/media/image14.png" ContentType="image/pn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846" w:type="dxa"/>
        <w:jc w:val="left"/>
        <w:tblInd w:w="-470" w:type="dxa"/>
        <w:tblBorders>
          <w:top w:val="threeDEngrave" w:sz="24" w:space="0" w:color="00000A"/>
          <w:left w:val="threeDEngrave" w:sz="24" w:space="0" w:color="00000A"/>
          <w:bottom w:val="threeDEmboss" w:sz="24" w:space="0" w:color="00000A"/>
          <w:right w:val="threeDEmboss" w:sz="24" w:space="0" w:color="00000A"/>
          <w:insideH w:val="threeDEmboss" w:sz="24" w:space="0" w:color="00000A"/>
          <w:insideV w:val="threeDEmboss" w:sz="24" w:space="0" w:color="00000A"/>
        </w:tblBorders>
        <w:tblCellMar>
          <w:top w:w="0" w:type="dxa"/>
          <w:left w:w="-60" w:type="dxa"/>
          <w:bottom w:w="0" w:type="dxa"/>
          <w:right w:w="108" w:type="dxa"/>
        </w:tblCellMar>
        <w:tblLook w:val="00a0"/>
      </w:tblPr>
      <w:tblGrid>
        <w:gridCol w:w="10846"/>
      </w:tblGrid>
      <w:tr>
        <w:trPr>
          <w:trHeight w:val="585" w:hRule="atLeast"/>
        </w:trPr>
        <w:tc>
          <w:tcPr>
            <w:tcW w:w="10846" w:type="dxa"/>
            <w:tcBorders>
              <w:top w:val="threeDEngrave" w:sz="24" w:space="0" w:color="00000A"/>
              <w:left w:val="threeDEngrave" w:sz="24" w:space="0" w:color="00000A"/>
              <w:bottom w:val="threeDEmboss" w:sz="24" w:space="0" w:color="00000A"/>
              <w:right w:val="threeDEmboss" w:sz="24" w:space="0" w:color="00000A"/>
              <w:insideH w:val="threeDEmboss" w:sz="24" w:space="0" w:color="00000A"/>
              <w:insideV w:val="threeDEmboss" w:sz="24" w:space="0" w:color="00000A"/>
            </w:tcBorders>
            <w:shd w:color="auto" w:fill="548DD4" w:val="clear"/>
            <w:tcMar>
              <w:left w:w="-60" w:type="dxa"/>
            </w:tcMar>
          </w:tcPr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895985" cy="1076960"/>
                  <wp:effectExtent l="0" t="0" r="0" b="0"/>
                  <wp:docPr id="1" name="Рисунок 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  <w:pict>
                <v:shapetype id="shapetype_136" coordsize="21600,21600" o:spt="136" adj="10800" path="m@9,l@10,em@11,21600l@12,21600e">
                  <v:stroke joinstyle="miter"/>
                  <v:formulas>
                    <v:f eqn="val #0"/>
                    <v:f eqn="sum @0 0 10800"/>
                    <v:f eqn="sum @0 0 0"/>
                    <v:f eqn="sum width 0 @0"/>
                    <v:f eqn="prod @2 2 1"/>
                    <v:f eqn="prod @3 2 1"/>
                    <v:f eqn="if @1 @5 @4"/>
                    <v:f eqn="sum 0 @6 0"/>
                    <v:f eqn="sum width 0 @6"/>
                    <v:f eqn="if @1 0 @8"/>
                    <v:f eqn="if @1 @7 width"/>
                    <v:f eqn="if @1 @8 0"/>
                    <v:f eqn="if @1 width @7"/>
                  </v:formulas>
                  <v:handles>
                    <v:h position="@0,21600"/>
                  </v:handles>
                </v:shapetype>
                <v:shape id="shape_0" fillcolor="white" stroked="t" style="position:absolute;margin-left:31.55pt;margin-top:1.05pt;width:469.55pt;height:75.8pt" type="shapetype_136">
                  <v:path textpathok="t"/>
                  <v:textpath on="t" fitshape="t" string="ИНВЕСТИЦИОННЫЙ ПАСПОРТ" style="font-family:&quot;Times New Roman&quot;;font-size:10pt"/>
                  <w10:wrap type="none"/>
                  <v:fill o:detectmouseclick="t" type="solid" color2="black"/>
                  <v:stroke color="black" joinstyle="miter" endcap="flat"/>
                </v:shape>
              </w:pic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pBdr>
                <w:bottom w:val="single" w:sz="4" w:space="1" w:color="00000A"/>
              </w:pBdr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  <w:pict>
                <v:shape id="shape_0" fillcolor="#0066cc" stroked="t" style="position:absolute;margin-left:16.55pt;margin-top:5.5pt;width:480.8pt;height:24.8pt" type="shapetype_136">
                  <v:path textpathok="t"/>
                  <v:textpath on="t" fitshape="t" string="ИЛЬИНСКИЙ МУНИЦИПАЛЬНЫЙ РАЙОН" style="font-family:&quot;Times New Roman&quot;;font-size:10pt"/>
                  <w10:wrap type="none"/>
                  <v:fill o:detectmouseclick="t" type="solid" color2="#ff9933"/>
                  <v:stroke color="#99ccff" weight="19080" joinstyle="miter" endcap="flat"/>
                </v:shape>
              </w:pic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Ивановской области</w: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/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2018 ГОД</w: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</w:tc>
      </w:tr>
    </w:tbl>
    <w:p>
      <w:pPr>
        <w:pStyle w:val="Normal"/>
        <w:pBdr>
          <w:left w:val="single" w:sz="4" w:space="1" w:color="00000A"/>
          <w:bottom w:val="single" w:sz="4" w:space="1" w:color="00000A"/>
        </w:pBdr>
        <w:shd w:val="clear" w:color="auto" w:fill="F2F2F2"/>
        <w:ind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br w:type="page"/>
      </w: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ИНВЕСТИЦИОННЫЙ ПАСПОРТ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color="auto" w:fill="F2F2F2"/>
        <w:ind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ИЛЬИНСКОГО МУНИЦИПАЛЬНОГО РАЙОНА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i/>
          <w:iCs/>
          <w:sz w:val="24"/>
          <w:szCs w:val="24"/>
        </w:rPr>
        <w:t>(городского округа, муниципального района)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1. ОБЩАЯ ХАРАКТЕРИСТИКА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1.1.Наименование муниципального образования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1.2.Центр муниципального образования</w:t>
      </w:r>
      <w:r>
        <w:rPr>
          <w:rFonts w:cs="Bookman Old Style" w:ascii="Bookman Old Style" w:hAnsi="Bookman Old Style"/>
          <w:sz w:val="24"/>
          <w:szCs w:val="24"/>
        </w:rPr>
        <w:t xml:space="preserve"> - п. Ильинское-Хованское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1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1.3.Глава администрации (ФИО) </w:t>
      </w:r>
      <w:r>
        <w:rPr>
          <w:rFonts w:cs="Bookman Old Style" w:ascii="Bookman Old Style" w:hAnsi="Bookman Old Style"/>
          <w:sz w:val="24"/>
          <w:szCs w:val="24"/>
        </w:rPr>
        <w:t>– Васютинский Сергей Иванович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1.4.Ответственный от администрации по инвестиционной политике (ФИО) </w:t>
      </w:r>
      <w:r>
        <w:rPr>
          <w:rFonts w:cs="Bookman Old Style" w:ascii="Bookman Old Style" w:hAnsi="Bookman Old Style"/>
          <w:sz w:val="24"/>
          <w:szCs w:val="24"/>
        </w:rPr>
        <w:t>– Ефремов Сергей Михайлович, заместитель главы администрации Ильинского муниципального района, начальник отдела экономики и муниципального хозяйства.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1.5.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Контактная информация (почтовый адрес, телефон, факс, электронная почта, адрес представительства в сети Интернет, официальное печатное издание)</w:t>
      </w: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 </w:t>
      </w: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155060 Ивановская обл., п. Ильинское-Хованское, ул. Советская, д. 2, тел./факс: (49353) 2-18-01, 2-14-09 / 2-14-01</w:t>
      </w:r>
      <w:r>
        <w:rPr>
          <w:rFonts w:cs="Bookman Old Style" w:ascii="Bookman Old Style" w:hAnsi="Bookman Old Style"/>
          <w:sz w:val="24"/>
          <w:szCs w:val="24"/>
        </w:rPr>
        <w:t xml:space="preserve">, 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электронная почта</w:t>
      </w:r>
      <w:r>
        <w:rPr>
          <w:rFonts w:cs="Bookman Old Style" w:ascii="Bookman Old Style" w:hAnsi="Bookman Old Style"/>
          <w:sz w:val="24"/>
          <w:szCs w:val="24"/>
        </w:rPr>
        <w:t xml:space="preserve">: </w:t>
      </w:r>
      <w:hyperlink r:id="rId3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admin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@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</w:rPr>
        <w:t xml:space="preserve">, 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upravlenie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</w:rPr>
        <w:t>_2014@mail.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ru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официальный сайт: </w:t>
      </w:r>
      <w:hyperlink r:id="rId4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www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официальное печатное издание – газета «</w:t>
      </w:r>
      <w:r>
        <w:rPr>
          <w:rFonts w:cs="Bookman Old Style" w:ascii="Bookman Old Style" w:hAnsi="Bookman Old Style"/>
          <w:b/>
          <w:bCs/>
          <w:sz w:val="24"/>
          <w:szCs w:val="24"/>
        </w:rPr>
        <w:t>Звезда</w:t>
      </w:r>
      <w:r>
        <w:rPr>
          <w:rFonts w:cs="Bookman Old Style" w:ascii="Bookman Old Style" w:hAnsi="Bookman Old Style"/>
          <w:sz w:val="24"/>
          <w:szCs w:val="24"/>
        </w:rPr>
        <w:t>».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1.6.Географическая характеристика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 расположен в центральной полосе России и граничит с севера  и северо-запада с Ярославской областью, с юга – с Владимирской, с юго-востока  и востока – с Гаврилово-Посадским, Тейковским и Комсомольским районами Ивановской области. Равнинная местность пересекается реками Сухода, Лахость, Сахта, Ухтома, Нерль. Имеются лесные массивы. Природные ресурсы представлены запасами гравия, песка, глины.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1.7.Общая площадь территории</w:t>
      </w:r>
      <w:r>
        <w:rPr>
          <w:rFonts w:cs="Bookman Old Style" w:ascii="Bookman Old Style" w:hAnsi="Bookman Old Style"/>
          <w:sz w:val="24"/>
          <w:szCs w:val="24"/>
        </w:rPr>
        <w:t>: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1.7.1.Общая площадь территории (тыс.га) - 140,009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1.7.2.Площадь застроенных земель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1,096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  <w:tab w:val="left" w:pos="652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1.7.3.Незастроенные территории, всего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8,876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  <w:tab w:val="left" w:pos="652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1.7.4.Сельскохозяйственные угодья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7,1108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1.7.5.Лесные земли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5,2715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1.7.6.Площади под древесно-кустарниковой растительностью, не входящие в лесной фонд (тыс.га) - 5,179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1.7.7.Водоемы (тыс.га) - 1,035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1.7.8.Водные объекты (название)- реки Сухода, Лахость, Сахта, Ухтома, Нерль.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1.7.9.Земли особо охраняемых территорий (тыс.га)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1.8.Наличие месторождений общераспространенных полезных ископаемых (наименование)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вид ресурса и его запасы - гравий, песок, глина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1.8.1.Запас ресурса (млн.куб.м.) – 2,195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1.9.-1.13.Население и трудовые ресурсы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1.9.Количество населенных пунктов (ед.) </w:t>
      </w:r>
      <w:r>
        <w:rPr>
          <w:rFonts w:cs="Bookman Old Style" w:ascii="Bookman Old Style" w:hAnsi="Bookman Old Style"/>
          <w:sz w:val="24"/>
          <w:szCs w:val="24"/>
        </w:rPr>
        <w:t xml:space="preserve">- 160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1.10.Численность постоянного населения </w:t>
      </w:r>
      <w:r>
        <w:rPr>
          <w:rFonts w:cs="Bookman Old Style" w:ascii="Bookman Old Style" w:hAnsi="Bookman Old Style"/>
          <w:sz w:val="24"/>
          <w:szCs w:val="24"/>
        </w:rPr>
        <w:t>(на 01.01.2019 г.)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1.10.1.Всего (тыс. чел.) – 8,075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1.10.2.Численность городского населения (тыс. чел.) - 2,840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1.10.3.Численность сельского населения (тыс. чел.) - 5,235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1.10.4.Плотность населения (чел./кв.км.) – 5,8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1.11.Демографическая ситуация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1.11.1.Доля жителей младше трудоспособного возраста (%) – 13,5 %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1.11.2.Доля жителей в трудоспособном возрасте (%) – 50,8 %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1.11.3.Доля жителей старше трудоспособного возраста (%) – 35,7 %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1.11.4.Доля мужчин в населении (%) – 46,4 %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1.11.5.Доля людей с высшим образованием (%) – 11,6 %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1.12.Численность населения в трудоспособном возрасте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1.12.1.всего (тыс.чел.) – 4,037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1.12.2.численность безработных, всего (чел.) – 97 (2,4%)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1.13.Доходы населения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1.13.1.Среднемесячная заработная плата (тыс. руб.) – 20,305 (за  2018 г.)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1.13.2.Численность населения с денежными доходами ниже величины прожиточного минимума (%) – 14,3 (в среднем по области)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1.14.Общая экологическая ситуация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1.14.1.наличие объектов катастрофической опасности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46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1.14.2.содержание загрязняющих веществ в воде (мг/куб. м.)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46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1.14.3.загрязнение почвы химическими элементами (мг/кг)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1.14.4.количество отходов, образуемых на предприятиях, всего (тонн/год)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н.д.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1.14.5.токсичных (тонн/год)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1.14.6.радиационный фон (Зиверт) – в норме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1.14.7.количество мест с превышением нормы радиационного фона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color w:val="FF0000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FF0000"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2. ЭКОНОМИЧЕСКИЙ ПОТЕНЦИАЛ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2.1.Основные виды экономической деятельности в промышленности</w:t>
      </w:r>
      <w:r>
        <w:rPr>
          <w:rFonts w:cs="Bookman Old Style" w:ascii="Bookman Old Style" w:hAnsi="Bookman Old Style"/>
          <w:sz w:val="24"/>
          <w:szCs w:val="24"/>
        </w:rPr>
        <w:t>- пищевая промышленность, обработка древесины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2.1.1.Отгружено промышленной продукции (млн.руб.) – 667,223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2.1.2.Промышленные (крупные и средние) предприятия района (ед.) – 1 ед.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ОАО «Аньковское» (производство сыров и сливочного масла).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2.1.3.Прирост объема продукции в промышленности — 84,8(%)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2.1.4.Перечень основных предприятий (Наименование предприятия, форма собственности, основной вид деятельности, почтовый адрес, ФИО руководителя, должность руководителя, телефон, факс, адрес электронной почты, виды выпускаемой продукции):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 МУП РМПО ЖКХ Ильинского муниципального района, п. Ильинское, ул. Садовая, д.39,   содержание торговой площади, бани, водоснабжение директор – Морозов А.М., 2-12-45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 МУП «ЖКХ (Ильинское) Ильинского муниципального района», п. Ильинское, ул. Советская, 85, водоснабжение и водоотведение, очистка сточных вод, директор – Денисенков Д.С., 2-17-37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 ООО «Ильинское ЖКХ», п. Ильинское, ул. Кооперативная, 3, содержание и ремонт жилфонда, директор – Журавлёва Г.В., 2-12-80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4. Ильинский производственный участок АО «Тейковское ПТС», централизованное теплоснабжение, начальник участка – Булыгин С.В., 2-16-81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 МУП «Ильинское АТП», п. Ильинское, ул. Советская, д.83, перевозка пассажиров внутри района и междугородние рейсы, директор - Пшеничнов В.А., 2-17-93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6. ЗАО «Ильинское», п. Ильинское, ул. Советская, д.13, животноводство, растениеводство, директор - Можарин С.А., 2-12-57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7. ЗАО «Гарское», с. Гари, животноводство, растениеводство, директор - Боталов В.Н., 2-53-17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8. ООО «Ильинское-Агро» группа компаний «Ермак», животноводство, генеральный директор – Двойных С.В., 2-63-10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9. ОАО «Аньковское», с. Аньково, производство сыра, сливочного масла, генеральный директор – Грязнова И.Л., 8-4932-93-28-20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10. ООО «Константиновский карьер», д. Никольское (г. Иваново, ул. Лакина, д.1), добыча гравия, песка, глины, директор – Хрипунов А.В., 8-920-345-36-10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11. ООО «Тейковская земельная компания», д. Петряйка (г. Иваново, ул. 11-й Проезд, д.7, оф.69), добыча гравия, песка, глины, начальник участка - директор – Гришанов А.Н., 38-43-79.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-26035</wp:posOffset>
                </wp:positionH>
                <wp:positionV relativeFrom="paragraph">
                  <wp:posOffset>334010</wp:posOffset>
                </wp:positionV>
                <wp:extent cx="9525" cy="1456690"/>
                <wp:effectExtent l="0" t="0" r="0" b="0"/>
                <wp:wrapNone/>
                <wp:docPr id="4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" cy="145620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cs="Bookman Old Style" w:ascii="Bookman Old Style" w:hAnsi="Bookman Old Style"/>
          <w:sz w:val="24"/>
          <w:szCs w:val="24"/>
        </w:rPr>
        <w:t>12. ЗАО Строительно-производственная компания «Стройрегионгрупп» (г. Иваново, ул. Станко, 23), добыча гравия, песка, глины, коммерческий директор – Егоров С.С.</w:t>
      </w:r>
    </w:p>
    <w:p>
      <w:pPr>
        <w:pStyle w:val="Default"/>
        <w:rPr/>
      </w:pPr>
      <w:r>
        <w:rPr>
          <w:rFonts w:cs="Bookman Old Style" w:ascii="Bookman Old Style" w:hAnsi="Bookman Old Style"/>
        </w:rPr>
        <w:t>13. ООО «РЕББИТС», (</w:t>
      </w:r>
      <w:r>
        <w:rPr>
          <w:rFonts w:ascii="Bookman Old Style" w:hAnsi="Bookman Old Style"/>
          <w:color w:val="00000A"/>
          <w:shd w:fill="FFFFFF" w:val="clear"/>
        </w:rPr>
        <w:t>с. Ивашево, ул. Советская, д. 7</w:t>
      </w:r>
      <w:r>
        <w:rPr>
          <w:rFonts w:ascii="Bookman Old Style" w:hAnsi="Bookman Old Style"/>
          <w:shd w:fill="FFFFFF" w:val="clear"/>
        </w:rPr>
        <w:t>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</w:rPr>
        <w:t xml:space="preserve">производство мяса кроликов, производство и реализации маточного поголовья, изготовление и реализация клеток для кроликов по технологии Михайлова, </w:t>
      </w:r>
      <w:r>
        <w:rPr>
          <w:rFonts w:ascii="Bookman Old Style" w:hAnsi="Bookman Old Style"/>
          <w:bCs/>
        </w:rPr>
        <w:t>Директор Ткаченко А.В. -</w:t>
      </w:r>
      <w:r>
        <w:rPr>
          <w:rFonts w:ascii="Bookman Old Style" w:hAnsi="Bookman Old Style"/>
          <w:color w:val="00000A"/>
          <w:shd w:fill="FFFFFF" w:val="clear"/>
        </w:rPr>
        <w:t>8-903-790-55-70</w:t>
      </w:r>
    </w:p>
    <w:p>
      <w:pPr>
        <w:pStyle w:val="Normal"/>
        <w:rPr/>
      </w:pPr>
      <w:r>
        <w:rPr>
          <w:rFonts w:ascii="Bookman Old Style" w:hAnsi="Bookman Old Style"/>
          <w:sz w:val="24"/>
          <w:szCs w:val="24"/>
        </w:rPr>
        <w:t>14.</w:t>
      </w:r>
      <w:r>
        <w:rPr>
          <w:rFonts w:cs="Bookman Old Style" w:ascii="Bookman Old Style" w:hAnsi="Bookman Old Style"/>
          <w:sz w:val="24"/>
          <w:szCs w:val="24"/>
        </w:rPr>
        <w:t xml:space="preserve"> ООО «РЕББИТ-ХОЛ», (</w:t>
      </w:r>
      <w:r>
        <w:rPr>
          <w:rFonts w:ascii="Bookman Old Style" w:hAnsi="Bookman Old Style"/>
          <w:sz w:val="24"/>
          <w:szCs w:val="24"/>
          <w:shd w:fill="FFFFFF" w:val="clear"/>
        </w:rPr>
        <w:t>с. Ивашево, ул. Советская, д. 7)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производство мяса кроликов,  </w:t>
      </w:r>
      <w:r>
        <w:rPr>
          <w:rFonts w:ascii="Bookman Old Style" w:hAnsi="Bookman Old Style"/>
          <w:bCs/>
          <w:sz w:val="24"/>
          <w:szCs w:val="24"/>
        </w:rPr>
        <w:t>Директор Дорошенко А.М.</w:t>
      </w:r>
      <w:r>
        <w:rPr>
          <w:rFonts w:ascii="Bookman Old Style" w:hAnsi="Bookman Old Style"/>
          <w:bCs/>
        </w:rPr>
        <w:t xml:space="preserve"> </w:t>
      </w:r>
      <w:r>
        <w:rPr>
          <w:rFonts w:ascii="Bookman Old Style" w:hAnsi="Bookman Old Style"/>
          <w:bCs/>
          <w:sz w:val="24"/>
          <w:szCs w:val="24"/>
        </w:rPr>
        <w:t>-</w:t>
      </w:r>
      <w:r>
        <w:rPr>
          <w:rFonts w:ascii="Bookman Old Style" w:hAnsi="Bookman Old Style"/>
          <w:sz w:val="24"/>
          <w:szCs w:val="24"/>
          <w:shd w:fill="FFFFFF" w:val="clear"/>
        </w:rPr>
        <w:t>8-916-592-39-92</w:t>
      </w:r>
    </w:p>
    <w:p>
      <w:pPr>
        <w:pStyle w:val="Default"/>
        <w:rPr>
          <w:sz w:val="22"/>
          <w:szCs w:val="22"/>
        </w:rPr>
      </w:pPr>
      <w:r>
        <w:rPr>
          <w:rFonts w:ascii="Bookman Old Style" w:hAnsi="Bookman Old Style"/>
          <w:shd w:fill="FFFFFF" w:val="clear"/>
        </w:rPr>
        <w:t xml:space="preserve">30. ООО «КФХ Кулачево», с. Кулачево </w:t>
      </w:r>
      <w:r>
        <w:rPr>
          <w:rFonts w:ascii="Bookman Old Style" w:hAnsi="Bookman Old Style"/>
          <w:color w:val="00000A"/>
          <w:shd w:fill="FFFFFF" w:val="clear"/>
        </w:rPr>
        <w:t>(Тейковский район, г. Тейково, ул. Матросова, д. 47/20</w:t>
      </w:r>
      <w:r>
        <w:rPr>
          <w:rFonts w:ascii="Bookman Old Style" w:hAnsi="Bookman Old Style"/>
          <w:shd w:fill="FFFFFF" w:val="clear"/>
        </w:rPr>
        <w:t xml:space="preserve">) </w:t>
      </w:r>
      <w:r>
        <w:rPr>
          <w:rFonts w:ascii="Bookman Old Style" w:hAnsi="Bookman Old Style"/>
          <w:color w:val="00000A"/>
        </w:rPr>
        <w:t>выращивани</w:t>
      </w:r>
      <w:r>
        <w:rPr>
          <w:rFonts w:ascii="Bookman Old Style" w:hAnsi="Bookman Old Style"/>
        </w:rPr>
        <w:t>е</w:t>
      </w:r>
      <w:r>
        <w:rPr>
          <w:rFonts w:ascii="Bookman Old Style" w:hAnsi="Bookman Old Style"/>
          <w:color w:val="00000A"/>
        </w:rPr>
        <w:t xml:space="preserve"> шампиньонов, овощей и зелени</w:t>
      </w:r>
      <w:r>
        <w:rPr>
          <w:rFonts w:ascii="Bookman Old Style" w:hAnsi="Bookman Old Style"/>
        </w:rPr>
        <w:t xml:space="preserve">, </w:t>
      </w:r>
      <w:r>
        <w:rPr>
          <w:rFonts w:ascii="Bookman Old Style" w:hAnsi="Bookman Old Style"/>
          <w:bCs/>
          <w:color w:val="00000A"/>
        </w:rPr>
        <w:t xml:space="preserve">Председатель Рак Виктор Иванович, </w:t>
      </w:r>
      <w:r>
        <w:rPr>
          <w:rFonts w:ascii="Bookman Old Style" w:hAnsi="Bookman Old Style"/>
          <w:color w:val="00000A"/>
          <w:shd w:fill="FFFFFF" w:val="clear"/>
        </w:rPr>
        <w:t>8-926-254-90-83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2.1.5.Отраслевая структура, % (легкая промышленность, пищевая, деревообрабатывающая, топливная, сельское хозяйство)- сельское хозяйство – 17,7 %,  промышленность – 60 %, здравоохранение — 7%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2.2.Основные виды экономической деятельности в сельском хозяйстве</w:t>
      </w:r>
      <w:r>
        <w:rPr>
          <w:rFonts w:cs="Bookman Old Style" w:ascii="Bookman Old Style" w:hAnsi="Bookman Old Style"/>
          <w:color w:val="000000"/>
          <w:sz w:val="24"/>
          <w:szCs w:val="24"/>
        </w:rPr>
        <w:t>- растениеводство, животноводство.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2.2.1.Валовая продукция (млн.руб.) – 501,9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2.2.2.Прирост объема продукции в сельском хозяйстве (%) – (3)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2.2.3.Продукция растениеводства (млн.руб.) – 204,5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2.2.4.Продукция животноводства (млн.руб.) – 297,4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2.2.5.Количество сельскохозяйственных предприятий (ед.) - 13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2.2.6.Количество фермерских хозяйств (ед.) - 6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2.3.Структура посевных площадей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2.3.1.Зерновые культуры (тыс. га.) – 1,626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2.3.2.Картофель (тыс. га.) –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2.3.3.Овощи (тыс. га.) -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2.3.4.Многолетние травы, клевер, однолетние травы (тыс. га.) – 5,577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2.4.Инвестиции в основной капитал, всего (млн.руб.) </w:t>
      </w:r>
      <w:r>
        <w:rPr>
          <w:rFonts w:cs="Bookman Old Style" w:ascii="Bookman Old Style" w:hAnsi="Bookman Old Style"/>
          <w:sz w:val="24"/>
          <w:szCs w:val="24"/>
        </w:rPr>
        <w:t>– 74,5 ( за 2018г.)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2.4.1.Жилища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2.4.2.Здания (кроме жилых) и сооружения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2.4.3.Машины, оборудование, транспортные средства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2.4.4.Прочие инвестиции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2.5.Занятость населения и трудовые ресурсы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2.5.1.Численность трудовых ресурсов (тыс.чел.) – 4,7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2.5.2.Численность занятых в экономике всего (тыс.чел.) – 3,6500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2.5.3.</w:t>
      </w:r>
      <w:r>
        <w:rPr>
          <w:rFonts w:cs="Bookman Old Style" w:ascii="Bookman Old Style" w:hAnsi="Bookman Old Style"/>
          <w:spacing w:val="-4"/>
          <w:sz w:val="24"/>
          <w:szCs w:val="24"/>
        </w:rPr>
        <w:t>Численность работников предприятий и организаций всего (тыс.чел.) – 1,9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2.5.4.Численность работников предприятий и организаций бюджетной сферы (тыс. чел.) – 0,545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2.6.Малое предпринимательство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2.6.1.Количество малых предприятий (ед.) - 42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2.6.2.Количество частных предпринимателей (ед.) – 147, в том числе 14 - КФХ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2.6.3.</w:t>
      </w:r>
      <w:r>
        <w:rPr>
          <w:rFonts w:cs="Bookman Old Style" w:ascii="Bookman Old Style" w:hAnsi="Bookman Old Style"/>
          <w:sz w:val="24"/>
          <w:szCs w:val="24"/>
        </w:rPr>
        <w:t>Доля занятых в малом предпринимательстве в общей численности занятых (%) – 47%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2.6.4.Количество малых  предприятий по отраслям экономики (в промышленности, строительстве, торговле и общественном питании, другое)- платные услуги – 35 %, торговля – 35 %, промышленность – 30 %.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2.7.Общий объем розничного товарооборота, включая общественное питание (млн.руб.) </w:t>
      </w:r>
      <w:r>
        <w:rPr>
          <w:rFonts w:cs="Bookman Old Style" w:ascii="Bookman Old Style" w:hAnsi="Bookman Old Style"/>
          <w:sz w:val="24"/>
          <w:szCs w:val="24"/>
        </w:rPr>
        <w:t>– 538,166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2.8.Общий объем реализации платных услуг населению (млн.руб.) </w:t>
      </w:r>
      <w:r>
        <w:rPr>
          <w:rFonts w:cs="Bookman Old Style" w:ascii="Bookman Old Style" w:hAnsi="Bookman Old Style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i/>
          <w:iCs/>
          <w:sz w:val="24"/>
          <w:szCs w:val="24"/>
        </w:rPr>
        <w:t>73,189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2.9.Торговля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2.9.1.Розничный товарооборот на 1 жителя (тыс.руб. на 1 жителя) – 65,85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2.9.2.Количество организаций розничной торговли (магазины, палатки) на 1000 жителей (число организаций на 1000 жителей) – 8,8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2.9.3.Количество торговых мест на вещевых, смешанных и продовольственных рынках на 1000 жителей (ед.): –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2.10.Транспортные услуги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2.10.1.Установленный тариф на 1 поездку на пассажирском транспорте по внутригородскому, пригородному и междугороднему маршрутам, (руб.) - 2,34 (с 01.01.2016).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2.11.Жилье и его доступность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2.11.1.Обеспеченность жильём (кв. м. на 1 жителя) – 36,92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2.11.2.Ввод нового жилья (кв. м. на 1000 жителей) – 95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2.11.3.Доля ветхого жилищного фонда во всем жилищном фонде (%):– 0,06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2.11.4.Среднерыночная стоимость 1 кв.м. жилья — 30,0 тыс.руб.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2.12.Присоединенная мощность потребителей электроэнергии (МВт) </w:t>
      </w:r>
      <w:r>
        <w:rPr>
          <w:rFonts w:cs="Bookman Old Style" w:ascii="Bookman Old Style" w:hAnsi="Bookman Old Style"/>
          <w:color w:val="000000"/>
          <w:sz w:val="24"/>
          <w:szCs w:val="24"/>
        </w:rPr>
        <w:t>- 9,6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pacing w:val="-6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2.13.Резерв по увеличению потребляемой мощности электроэнергии (МВт)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2.14.Потребление газа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2.14.1.за год (куб. м.) – </w:t>
      </w:r>
      <w:r>
        <w:rPr>
          <w:rFonts w:cs="Bookman Old Style" w:ascii="Bookman Old Style" w:hAnsi="Bookman Old Style"/>
          <w:color w:val="000000"/>
          <w:sz w:val="24"/>
          <w:szCs w:val="24"/>
          <w:lang w:val="ru-RU"/>
        </w:rPr>
        <w:t>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2.14.2.за сутки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2.15.Резерв по увеличению объемов потребления газа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2.15.1.за год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2.15.2.за сутки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2.16.Потребление воды (куб. м.) </w:t>
      </w:r>
      <w:r>
        <w:rPr>
          <w:rFonts w:cs="Bookman Old Style" w:ascii="Bookman Old Style" w:hAnsi="Bookman Old Style"/>
          <w:color w:val="000000"/>
          <w:sz w:val="24"/>
          <w:szCs w:val="24"/>
        </w:rPr>
        <w:t>–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2.17.Резерв по увеличению объемов потребления воды (куб. м.)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2.18.Мощность очистных сооружений (куб. м. в сутки)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- 870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2.19.Резервная мощность очистных сооружений (куб. м. в сутки)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2.20.Потребление тепловой энергии (Гкал) – 7910,0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center"/>
        <w:rPr>
          <w:rFonts w:ascii="Bookman Old Style" w:hAnsi="Bookman Old Style" w:cs="Bookman Old Style"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3. ИНФРАСТРУКТУРА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3.1.Наименования основных транспортных магистралей</w:t>
      </w:r>
      <w:r>
        <w:rPr>
          <w:rFonts w:cs="Bookman Old Style" w:ascii="Bookman Old Style" w:hAnsi="Bookman Old Style"/>
          <w:sz w:val="24"/>
          <w:szCs w:val="24"/>
        </w:rPr>
        <w:t>: Ростов – Иваново – Нижний Новгород (38,7 км на территории района)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протяженность автомобильных дорог (км.) – 339,11 (инвентаризация 2010 г.)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3.1.2.протяженность автомобильных дорог с твердым покрытием (км.) - 186,6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3.2.Железнодорожный транспорт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3.2.1.наличие грузовых ж/д станций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3.2.2.наименование станций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3.3.Связь и телекоммуникации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3.3.1.наименования организаций, предоставляющих услуги мобильной связи –</w:t>
      </w:r>
      <w:r>
        <w:rPr>
          <w:rFonts w:cs="Bookman Old Style" w:ascii="Bookman Old Style" w:hAnsi="Bookman Old Style"/>
          <w:sz w:val="24"/>
          <w:szCs w:val="24"/>
          <w:lang w:val="en-US"/>
        </w:rPr>
        <w:t>Smarts</w:t>
      </w:r>
      <w:r>
        <w:rPr>
          <w:rFonts w:cs="Bookman Old Style" w:ascii="Bookman Old Style" w:hAnsi="Bookman Old Style"/>
          <w:sz w:val="24"/>
          <w:szCs w:val="24"/>
        </w:rPr>
        <w:t xml:space="preserve">-Иваново, </w:t>
      </w:r>
      <w:r>
        <w:rPr>
          <w:rFonts w:cs="Bookman Old Style" w:ascii="Bookman Old Style" w:hAnsi="Bookman Old Style"/>
          <w:sz w:val="24"/>
          <w:szCs w:val="24"/>
          <w:lang w:val="en-US"/>
        </w:rPr>
        <w:t>Beeline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MTS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MegaFon</w:t>
      </w:r>
      <w:r>
        <w:rPr>
          <w:rFonts w:cs="Bookman Old Style" w:ascii="Bookman Old Style" w:hAnsi="Bookman Old Style"/>
          <w:sz w:val="24"/>
          <w:szCs w:val="24"/>
        </w:rPr>
        <w:t>.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3.3.2.наименование организаций, предоставляющих услуги доступа в Интернет - ЛТУ  п. Ильинское МЦТЭТ г. Тейково Ивановский филиал ОАО «Ростелеком»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0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3.3.3.число зарегистрированных домашних телефонов на 1000 жителей (единиц/1000 жителей) - 200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3.3.4.городской сети (единиц /1000 жителей) - 220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3.3.5.сельской сети (единиц / 1000 жителей) - 190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</w:rPr>
        <w:t>.</w:t>
      </w:r>
      <w:r>
        <w:rPr>
          <w:rFonts w:cs="Bookman Old Style" w:ascii="Bookman Old Style" w:hAnsi="Bookman Old Style"/>
          <w:b/>
          <w:bCs/>
          <w:sz w:val="24"/>
          <w:szCs w:val="24"/>
        </w:rPr>
        <w:t>4.Финансовые организации (включая филиалы)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3.4.1.количество банков (ед.) - 2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3.4.2.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название банков </w:t>
      </w:r>
      <w:r>
        <w:rPr>
          <w:rFonts w:cs="Bookman Old Style" w:ascii="Bookman Old Style" w:hAnsi="Bookman Old Style"/>
          <w:sz w:val="24"/>
          <w:szCs w:val="24"/>
        </w:rPr>
        <w:t>– Ивановское ОСБ РФ (доп. офис № 8639/051); Ивановский региональный филиал ОАО «Россельхозбанк» (доп. офис)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3.5.Страховые компании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3.5.1.количество страховых компаний (ед) - 1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3.5.2.название страховых компаний – ООО «Росгосстрах» Филиал ООО «Росгосстрах» в Ивановской области» Страховой отдел в п. Ильинское.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3.6.Муниципальная нежилая недвижимость и землепользование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3.6.1.Наличие реестра муниципальной нежилой недвижимости (да/нет) - да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4" w:leader="none"/>
        </w:tabs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3.6.2.</w:t>
      </w:r>
      <w:r>
        <w:rPr>
          <w:rFonts w:cs="Bookman Old Style" w:ascii="Bookman Old Style" w:hAnsi="Bookman Old Style"/>
          <w:spacing w:val="-6"/>
          <w:sz w:val="24"/>
          <w:szCs w:val="24"/>
        </w:rPr>
        <w:t>Наличие концепции управления муниципальной недвижимостью (да/нет) - да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6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3.6.3.План - схема земельных участков (объектов), для предложений инвесторам, с указанием границ, площади, коммуникаций (либо расстояние до точек возможной врезки), а также указать владельца (контактная информация) - план-схемы земельных участков прилагаются.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mallCaps/>
          <w:sz w:val="24"/>
          <w:szCs w:val="24"/>
        </w:rPr>
        <w:t>3.6.4.</w:t>
      </w:r>
      <w:r>
        <w:rPr>
          <w:rFonts w:cs="Bookman Old Style" w:ascii="Bookman Old Style" w:hAnsi="Bookman Old Style"/>
          <w:sz w:val="24"/>
          <w:szCs w:val="24"/>
        </w:rPr>
        <w:t xml:space="preserve">Две-три цветные фотографии участков (объектов). </w:t>
      </w:r>
      <w:r>
        <w:rPr>
          <w:rFonts w:cs="Bookman Old Style" w:ascii="Bookman Old Style" w:hAnsi="Bookman Old Style"/>
          <w:sz w:val="24"/>
          <w:szCs w:val="24"/>
          <w:u w:val="single"/>
        </w:rPr>
        <w:t>По возможности</w:t>
      </w:r>
      <w:r>
        <w:rPr>
          <w:rFonts w:cs="Bookman Old Style" w:ascii="Bookman Old Style" w:hAnsi="Bookman Old Style"/>
          <w:sz w:val="24"/>
          <w:szCs w:val="24"/>
        </w:rPr>
        <w:t>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3.7 Культурно - просветительное обслуживание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Число работающих объектов культурно-просветительного обслуживания на 1000 жителей (число объектов на 1000 жителей) – 2,97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3.7.2.Обеспеченность учреждениями культурно-досугового типа (учреждений на 100000 жителей) – 148,6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3.7.3.Обеспеченность общедоступными библиотеками (учреждений на 100000 жителей) – 136,2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3.7.4.Количество спортивно-оздоровительных учреждений (бассейнов, лыжных баз и т.д.) на 10000 жителей (тыс.кв.м.): залами – 6,2; плоскостными сооружениями – 12,38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3.8.Социальная защита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3.8.1.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Бюджетная обеспеченность по разделу «Социальная политика» на душу населения (руб.) 380,44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5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3.8.2.Доля малоимущих  граждан, зарегистрированных в органах социальной защиты населения от всех жителей (%) – 25%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3.8.3.Сумма выплат социальной помощи на одного получателя (руб. на 1 человека) – 705,00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3.9.Здравоохранение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3.9.1.Обеспеченность населения местами в больницах для стационарного лечения (коек на тыс. жителей) – 1,86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6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3.9.2.Обеспеченность населения услугами амбулаторно-клинических учреждений (посещений в смену на тыс. жителей) – 34,1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3.9.3.Численность врачей на тысячу человек (ед.) - 1,73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3.9.4.</w:t>
      </w:r>
      <w:r>
        <w:rPr>
          <w:rFonts w:cs="Bookman Old Style" w:ascii="Bookman Old Style" w:hAnsi="Bookman Old Style"/>
          <w:spacing w:val="-6"/>
          <w:sz w:val="24"/>
          <w:szCs w:val="24"/>
        </w:rPr>
        <w:t>Численность среднего медицинского персонала на тысячу человек (ед.) – 5,7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3.10.Образование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3.10.1.Количество детских садов, школ, учреждений профессионально-технического образования, высших учебных заведений: 2 средних общеобразовательных школы, 1 основная общеобразовательных школы, 1 начальная общеобразовательная школа, 2 детских сада.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60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3.11.Рынок жилья: гостиницы, общежития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3.11.1.Перечень основных гостиниц и общежитий –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3.11.2.Введено в эксплуатацию жилья за год (тыс.кв.м. общей площади) – 0,776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4. ОБЩИЕ ДАННЫЕ ДЛЯ РАСЧЕТОВ И ОБОСНОВАНИЙ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pacing w:val="-4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4.1.Базовая ставка земельного налога по основным видам функционального назначения земель (руб./кв.м.</w:t>
      </w:r>
      <w:r>
        <w:rPr>
          <w:rFonts w:cs="Bookman Old Style" w:ascii="Bookman Old Style" w:hAnsi="Bookman Old Style"/>
          <w:b/>
          <w:bCs/>
          <w:i/>
          <w:iCs/>
          <w:smallCaps/>
          <w:color w:val="000000"/>
          <w:spacing w:val="-4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(либо порядок расчета величины налога):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отнесенных к землям с/х назначения;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занятых жилищным фондом и объектами инженерной инфраструктуры жилищно-коммунального комплекса;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приобретенных (предоставленных) для личного подсобного хозяйства, садоводства, огородничества или животноводства, а также дачного строительства;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1,5 % в отношени</w:t>
      </w:r>
      <w:bookmarkStart w:id="0" w:name="_GoBack"/>
      <w:bookmarkEnd w:id="0"/>
      <w:r>
        <w:rPr>
          <w:rFonts w:cs="Bookman Old Style" w:ascii="Bookman Old Style" w:hAnsi="Bookman Old Style"/>
          <w:color w:val="000000"/>
          <w:sz w:val="24"/>
          <w:szCs w:val="24"/>
        </w:rPr>
        <w:t>и прочих земельных участков.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4.2.Средний по району/округу показатель кадастровой стоимости земельного участка по категориям земель и по основным видам функционального использования, (руб./кв.м.):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4.2.1.Всего (руб./кв.м.)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а) земли с/х назначения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1 группа – 1,49 (с/х угодья), 2 группа – нет (занятые внутрихозяйственными дорогами), 3 группа – 0,32 (под замкнутыми водоемами), 4 группа – нет (под древесно-кустарниковой растительностью), 5 группа – нет (под лесами), 6 группа -0,24;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б) земли промышленности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pacing w:val="-8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8"/>
          <w:sz w:val="24"/>
          <w:szCs w:val="24"/>
        </w:rPr>
        <w:t>2 группа – 11,21 (административные здания), 4 группа – 0,62 (полезные ископаемые);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в) земли поселений</w:t>
        <w:tab/>
        <w:tab/>
        <w:tab/>
        <w:tab/>
        <w:tab/>
        <w:t>пос. Ильинское</w:t>
        <w:tab/>
      </w:r>
      <w:r>
        <w:rPr>
          <w:rFonts w:cs="Bookman Old Style" w:ascii="Bookman Old Style" w:hAnsi="Bookman Old Style"/>
          <w:color w:val="000000"/>
          <w:spacing w:val="-20"/>
          <w:sz w:val="24"/>
          <w:szCs w:val="24"/>
        </w:rPr>
        <w:t>Сельские поселения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многоэтажной застройки</w:t>
        <w:tab/>
        <w:tab/>
        <w:tab/>
        <w:t>2353,00</w:t>
        <w:tab/>
        <w:tab/>
        <w:t>н/д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индивидуальной жилой застройки</w:t>
        <w:tab/>
        <w:t>188,22</w:t>
        <w:tab/>
        <w:tab/>
        <w:t>96,54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земли гаражей и автостоянок</w:t>
        <w:tab/>
        <w:tab/>
        <w:tab/>
        <w:tab/>
        <w:t>2735,25</w:t>
        <w:tab/>
        <w:tab/>
        <w:t>2356,84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под объектами торговли, общественного питания,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бытового обслуживания</w:t>
        <w:tab/>
        <w:tab/>
        <w:tab/>
        <w:tab/>
        <w:tab/>
        <w:t>217,88</w:t>
        <w:tab/>
        <w:tab/>
        <w:t>208,44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промышленными объектами</w:t>
        <w:tab/>
        <w:tab/>
        <w:tab/>
        <w:tab/>
        <w:t>933,62</w:t>
        <w:tab/>
        <w:tab/>
        <w:t>947,69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под административно-управленческими и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социальными объектами</w:t>
        <w:tab/>
        <w:tab/>
        <w:tab/>
        <w:tab/>
        <w:tab/>
        <w:t>890,71</w:t>
        <w:tab/>
        <w:tab/>
        <w:t>651,38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4.2.2.Формы представления земли инвесторам: аренда, собственность.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4.3.</w:t>
      </w: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Арендная плата за землю по основным видам функционального назначения земель (руб. за кв.м.) (либо порядок ее определения)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 xml:space="preserve"> – см. приложение №1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4.4.Ставка земельного налога под производственными постройками, сооружениями предприятий, организаций: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4.4.1.Всего (руб./кв.м.) - 1,5 % от кадастровой стоимости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4.5.Цены на водоснабжение и канализацию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pacing w:val="-10"/>
          <w:sz w:val="24"/>
          <w:szCs w:val="24"/>
        </w:rPr>
        <w:t>4.5.1.</w:t>
      </w:r>
    </w:p>
    <w:tbl>
      <w:tblPr>
        <w:tblW w:w="10772" w:type="dxa"/>
        <w:jc w:val="left"/>
        <w:tblInd w:w="30" w:type="dxa"/>
        <w:tblBorders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18" w:type="dxa"/>
          <w:bottom w:w="55" w:type="dxa"/>
          <w:right w:w="55" w:type="dxa"/>
        </w:tblCellMar>
      </w:tblPr>
      <w:tblGrid>
        <w:gridCol w:w="7260"/>
        <w:gridCol w:w="1755"/>
        <w:gridCol w:w="1757"/>
      </w:tblGrid>
      <w:tr>
        <w:trPr/>
        <w:tc>
          <w:tcPr>
            <w:tcW w:w="7260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Ильинское городское поселение</w:t>
            </w:r>
          </w:p>
        </w:tc>
        <w:tc>
          <w:tcPr>
            <w:tcW w:w="1755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водоснабжение</w:t>
            </w:r>
          </w:p>
        </w:tc>
        <w:tc>
          <w:tcPr>
            <w:tcW w:w="175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водоотведение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 xml:space="preserve">МУП «ЖКХ (Ильинское) Ильинского муниципального района 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52,32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35,94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Аньковское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МУП «ЖКХ (Аньково) Ильинского муниципального района»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52,83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36,62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ОАО «Аньковское»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23,96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8,96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Ивашевское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МУП «ЖКХ (Ивашево) Ильинского муниципального района»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54,17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Исаевское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bookmarkStart w:id="1" w:name="__DdeLink__1859_1364597659"/>
            <w:bookmarkEnd w:id="1"/>
            <w:r>
              <w:rPr/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43,02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Щенниковское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  <w:t>35,44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18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</w:tbl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6"/>
          <w:sz w:val="24"/>
          <w:szCs w:val="24"/>
          <w:u w:val="none"/>
        </w:rPr>
        <w:t xml:space="preserve">4.6.Льготы местного налогообложения -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на арендаторов земельных участков распространяются льготы, применяемые при налогообложении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-  за пользование земельными участками, государственная собственность на которые не разграничена, расположенными на территории Ильинского муниципального района, указанные в Порядке определения размера арендной платы за предоставленные в аренду без торгов земельные участки, находящиеся в собственности Ивановской области и земельные участки, государственная собственность на которые не разграничена, утвержденном Постановлением Правительства Ивановской области №225-п от 25.08.2008г. (в ред. Постановлений Правительства Ивановской области от 13.03.2009 </w:t>
      </w:r>
      <w:hyperlink r:id="rId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9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10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11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12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13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14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15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1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1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1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19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20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от 01.08.2016 N 7-АПГ16-1);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-  за пользование земельными участками, находящимися в собственности Ильинского муниципального района, указанные  в Порядке определения размера арендной платы за предоставленные в аренду без торгов земельные участки, находящиеся в собственности Ильинского муниципального района, утвержденного Решением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в ред. Решения Совета Ильинского муниципального района от 25.12.2018г. </w:t>
      </w:r>
      <w:hyperlink r:id="rId2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4.7.Арендная плата за нежилые помещения (муниципальная собственность) (руб./кв.м в год</w:t>
      </w:r>
      <w:r>
        <w:rPr>
          <w:rFonts w:cs="Bookman Old Style" w:ascii="Bookman Old Style" w:hAnsi="Bookman Old Style"/>
          <w:b/>
          <w:bCs/>
          <w:smallCaps/>
          <w:color w:val="000000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smallCaps/>
          <w:color w:val="000000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color w:val="000000"/>
          <w:sz w:val="24"/>
          <w:szCs w:val="24"/>
        </w:rPr>
        <w:t>в размере не ниже рыночной величины арендной платы, определенной оценщиком в соответствии с Федеральным законом от 29.07.1998 г. №135-ФЗ «Об оценочной деятельности в Российской Федерации», Решение Совета Ильинского муниципального района 12.10.2012. № 153 «Об определении размера арендной платы за пользование имуществом, находящимся в муниципальной собственности Ильинского муниципального района Ивановской области».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4.8.Нормативные акты, определяющие величину земельного налога и арендной платы за земельный участок (либо определяющие порядок их расчета):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Арендная плата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b/>
          <w:bCs/>
          <w:color w:val="800000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Постановление Правительства Ивановской области №225-п от 25.08.2008г. (в ред. Постановлений Правительства Ивановской области от 13.03.2009 </w:t>
      </w:r>
      <w:hyperlink r:id="rId2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2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2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2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26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27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28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29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30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3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3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3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3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3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36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37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от 01.08.2016 N 7-АПГ16-1);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</w:rPr>
        <w:t>Решение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ред. Решения Совета Ильинского муниципального района от 25.12.2018г.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</w:t>
      </w:r>
      <w:hyperlink r:id="rId38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Земельный налог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–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Решение Совета Исаевского сельского поселения № 98 от 26.04.2018 г.; Решение Совета Ивашевского сельского поселения № 98 от 18.10.2017 г.; Решение Совета Щенниковского сельского поселения № 100 от 03.11.2017 г.; Решение Совета Аньковского сельского поселения № 21 от 28.10.2015 г.; Решения Совета Ильинского городского поселения № 200 от 08.11.2018 г.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5. ИНВЕСТИЦИОННАЯ ПОЛИТИКА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5.1.Инвестиции в основной капитал за счет всех источников финансирования, всего (тыс.руб.) – 74500</w:t>
      </w:r>
      <w:r>
        <w:rPr>
          <w:rFonts w:cs="Bookman Old Style" w:ascii="Bookman Old Style" w:hAnsi="Bookman Old Style"/>
          <w:sz w:val="24"/>
          <w:szCs w:val="24"/>
        </w:rPr>
        <w:t>,00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Инвестиции по крупным и средним предприятиям и организациям (тыс.руб.) – 23181</w:t>
      </w:r>
      <w:r>
        <w:rPr>
          <w:rFonts w:cs="Bookman Old Style" w:ascii="Bookman Old Style" w:hAnsi="Bookman Old Style"/>
          <w:sz w:val="24"/>
          <w:szCs w:val="24"/>
        </w:rPr>
        <w:t>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5.1.4.Инвестиции в основной капитал по видам экономической деятельности (тыс.руб.): </w:t>
      </w:r>
      <w:r>
        <w:rPr>
          <w:rFonts w:cs="Bookman Old Style" w:ascii="Bookman Old Style" w:hAnsi="Bookman Old Style"/>
          <w:i/>
          <w:iCs/>
          <w:sz w:val="24"/>
          <w:szCs w:val="24"/>
        </w:rPr>
        <w:t>(на 01.02.19 нет разбивки)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Сельское хозяйство, охота и лесное хозяйство – 51300,0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Обрабатывающие производства – 7800,0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Государственное управление и обеспечение военной безопасности, обязательное социальное обеспечение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Образование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Занятость населения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Здравоохранение и предоставление социальных услуг – н/д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5.2.Инвестиции в промышленность</w:t>
      </w:r>
      <w:r>
        <w:rPr>
          <w:rFonts w:cs="Bookman Old Style" w:ascii="Bookman Old Style" w:hAnsi="Bookman Old Style"/>
          <w:sz w:val="24"/>
          <w:szCs w:val="24"/>
        </w:rPr>
        <w:t xml:space="preserve"> (тыс. руб.) – н/д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  <w:t>по виду экономической деятельности «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Обрабатывающие производства</w:t>
      </w:r>
      <w:r>
        <w:rPr>
          <w:rFonts w:cs="Bookman Old Style" w:ascii="Bookman Old Style" w:hAnsi="Bookman Old Style"/>
          <w:spacing w:val="-6"/>
          <w:sz w:val="24"/>
          <w:szCs w:val="24"/>
        </w:rPr>
        <w:t>», из них: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производство пищевых продуктов, включая напитки и табака – 7800,0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5.3.Инвестиции в основной капитал крупных и средних предприятий и организаций по источникам финансирования </w:t>
      </w:r>
      <w:r>
        <w:rPr>
          <w:rFonts w:cs="Bookman Old Style" w:ascii="Bookman Old Style" w:hAnsi="Bookman Old Style"/>
          <w:i/>
          <w:iCs/>
          <w:sz w:val="24"/>
          <w:szCs w:val="24"/>
        </w:rPr>
        <w:t>(на 01.02.19 нет разбивки)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5.3.1.Собственные средства, всего (тыс.руб.) – 17471,0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 т.ч. прибыль, остающаяся в распоряжении организации (тыс. руб.)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5.3.2.Привлеченные средства, всего (тыс.руб.) – 5710,0 в т.ч.: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5.3.2.1.Кредиты банков (тыс.руб.) –0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5.3.2.2. Заемные средства других организаций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5.3.2.3.Бюджетные средства, всего (тыс.руб.) – 4003,0, из них: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Федеральный бюджет (тыс.руб.)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Бюджет субъекта Российской Федерации и местный бюджет (тыс.руб.)</w:t>
      </w:r>
      <w:r>
        <w:rPr>
          <w:rFonts w:cs="Bookman Old Style" w:ascii="Bookman Old Style" w:hAnsi="Bookman Old Style"/>
          <w:sz w:val="24"/>
          <w:szCs w:val="24"/>
        </w:rPr>
        <w:t xml:space="preserve"> – 4003,0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Прочие (тыс.руб.) – 430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spacing w:val="2"/>
          <w:sz w:val="24"/>
          <w:szCs w:val="24"/>
        </w:rPr>
      </w:pPr>
      <w:r>
        <w:rPr>
          <w:rFonts w:cs="Bookman Old Style" w:ascii="Bookman Old Style" w:hAnsi="Bookman Old Style"/>
          <w:b/>
          <w:bCs/>
          <w:spacing w:val="2"/>
          <w:sz w:val="24"/>
          <w:szCs w:val="24"/>
        </w:rPr>
        <w:t xml:space="preserve">5.4.Прирост объема инвестиций в основной капитал из всех источников финансирования (%) </w:t>
      </w:r>
      <w:r>
        <w:rPr>
          <w:rFonts w:cs="Bookman Old Style" w:ascii="Bookman Old Style" w:hAnsi="Bookman Old Style"/>
          <w:spacing w:val="2"/>
          <w:sz w:val="24"/>
          <w:szCs w:val="24"/>
        </w:rPr>
        <w:t xml:space="preserve">– 85,7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93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5.5.Доля инвестиций из собственных средств в основной капитал (%) </w:t>
      </w:r>
      <w:r>
        <w:rPr>
          <w:rFonts w:cs="Bookman Old Style" w:ascii="Bookman Old Style" w:hAnsi="Bookman Old Style"/>
          <w:sz w:val="24"/>
          <w:szCs w:val="24"/>
        </w:rPr>
        <w:t>– 24,2 (данные по области)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93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5.6.Доля инвестиций производственного назначения (%)</w:t>
      </w:r>
      <w:r>
        <w:rPr>
          <w:rFonts w:cs="Bookman Old Style" w:ascii="Bookman Old Style" w:hAnsi="Bookman Old Style"/>
          <w:sz w:val="24"/>
          <w:szCs w:val="24"/>
        </w:rPr>
        <w:t xml:space="preserve"> – н/д.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5.7.Приоритетные направления инвестиционной политики</w:t>
      </w:r>
      <w:r>
        <w:rPr>
          <w:rFonts w:cs="Bookman Old Style" w:ascii="Bookman Old Style" w:hAnsi="Bookman Old Style"/>
          <w:sz w:val="24"/>
          <w:szCs w:val="24"/>
        </w:rPr>
        <w:t xml:space="preserve"> – сельское хозяйство, образование, промышленность, здравоохранение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6. НОРМАТИВНЫЕ И ПРАВОВЫЕ АКТЫ, РАЗРАБОТАННЫЕ В МО, В ОБЛАСТИ ПОДДЕРЖКИ И РАЗВИТИЯ ИНВЕСТИЦИОННОЙ ДЕЯТЕЛЬНОСТИ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Решение Совета Ильинского муниципального района от 16.06.2016 N 90 "Об утверждении Положения "О муниципальной поддержке инвестиционной деятельности на территории Ильинского муниципального района"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Постановление главы Ильинского муниципального района от 30.04.2009 г. №159 «Об утверждении порядка рассмотрения инвестиционных проектов»;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Распоряжение главы администрации Ильинского муниципального района от 14.06.2018 г. №308-р «О комиссии по содействию инвестиционной деятельности на территории Ильинского муниципального района».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color w:val="8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7. ИНВЕСТИЦИОННЫЕ ПРОЕКТЫ, УСПЕШНО РЕАЛИЗУЕМЫЕ НА ТЕРРИТОРИИ МУНИЦИПАЛЬНОГО ОБРАЗОВАНИЯ (ПЕРЕЧЕНЬ, КРАТКАЯ СПРАВКА) – В 2014-2018 ГОДАХ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800000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2014 году, в рамках программы по переселению граждан из ветхого и аварийного жилого фонда, построен многоквартирный жилой дом в п. Ильинское-Хованское.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2016 году ООО «Ильинское-Агро» было приобретено имущество на 73 млн. руб : зерносклады, мастерская, земельные участки. Были введены в эксплуатацию три артезианских скважины в д. Нажерово и в д. Астафьево, для содержания животных. Было закуплено животных более чем на 7 млн. руб., куплен зерноуборочный комбайн «Полесье»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>В 2017 году преобретались: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Жатка РСМ-081.27, Жатка роторная ЖР-4000, мобильная сушилка AGRIMEC, Комбайн зерноуборочный самоходный РСМ-152 "ACROS Plus", Очиститель вороха самопередвижной ОВС25, Погрузчик фронтальный Т-229 MF, Упаковщик рулонов SW 120.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году: 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>Трактор Т — 150,  рулоновоз — ПТР-109, прессподборщик — Волагре, и Экструдер для зерна, что в настоящее время является единственным в районе.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В 2018 году объем инвестиций в развитие предприятия по производству высококачественной говядины – ООО «Ильинское-Агро» составил – 18,0 млн.руб.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В 2015 году в ЗАО «Гарское» выстроен новый арочный двор для содержания молодняка, а так же приобретена сельскохозяйственная техника. Объем инвестиций – 8,0 млн.руб.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>В 2016 году хозяйством приобретено сушильное оборудование, автомат по розливу молока, который установлен в торговой сети «Лента» г. Иваново и закуплен фургон для доставки молока к автоматам, установлено оборудование для производства творога. Приобретен опрыскиватель и грабли.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 xml:space="preserve"> </w:t>
      </w: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>В 2017 году хозяйством приобретен силосоуборочный комбайн с зерновой приставкой, был куплен почти новый трактор МТЗ-80.</w:t>
      </w:r>
    </w:p>
    <w:p>
      <w:pPr>
        <w:pStyle w:val="Normal"/>
        <w:pBdr>
          <w:left w:val="single" w:sz="4" w:space="1" w:color="00000A"/>
        </w:pBdr>
        <w:shd w:val="clear" w:color="auto" w:fill="FFFFFF"/>
        <w:spacing w:lineRule="auto" w:line="276" w:before="0" w:after="200"/>
        <w:ind w:left="0" w:right="-83" w:firstLine="708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 xml:space="preserve">На ОАО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«</w:t>
      </w: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Аньковское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» инвестирование  активно направлено на   увеличение  и модернизацию производственных площадей, в 2018г. на эти цели потрачено 7,8 млн.руб. В ОБУЗ Ильинская ЦРБ приобретен новый аппарат УЗИ.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 w:cs="Bookman Old Style"/>
          <w:color w:val="800000"/>
          <w:sz w:val="24"/>
          <w:szCs w:val="24"/>
        </w:rPr>
      </w:pPr>
      <w:r>
        <w:rPr>
          <w:rFonts w:cs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  <w:r>
        <w:br w:type="page"/>
      </w:r>
    </w:p>
    <w:p>
      <w:pPr>
        <w:pStyle w:val="Normal"/>
        <w:jc w:val="center"/>
        <w:rPr>
          <w:color w:val="000000"/>
        </w:rPr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___________________________________</w:t>
      </w:r>
    </w:p>
    <w:tbl>
      <w:tblPr>
        <w:tblW w:w="10065" w:type="dxa"/>
        <w:jc w:val="left"/>
        <w:tblInd w:w="125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7655"/>
        <w:gridCol w:w="2409"/>
      </w:tblGrid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1 357 761,30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промышленности, транспорта и иного назначения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Прямоугольной формы, рельеф - ровный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28,1 га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п. Ильинское-Хованское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Васютинский Сергей Иванович, глава Ильинского муниципального района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 8(49353) 2-12-04, факс 8(49353) 2-15-05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Аэродром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Ближайшая сеть – 500м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2*10 МВт, расстояние до ближайшей сети – 500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400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10 000 м</w:t>
            </w:r>
            <w:r>
              <w:rPr>
                <w:color w:val="000000"/>
                <w:sz w:val="22"/>
                <w:szCs w:val="22"/>
                <w:vertAlign w:val="superscript"/>
              </w:rPr>
              <w:t>3</w:t>
            </w:r>
            <w:r>
              <w:rPr>
                <w:color w:val="000000"/>
                <w:sz w:val="22"/>
                <w:szCs w:val="22"/>
              </w:rPr>
              <w:t>/час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- 400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300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Имеются, грунтовая дорога-0 км., асфальтовая -0,4 км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Отсутствуют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 Н.Новгогод 2 км.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- г. Тейково Ивановской области;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>
          <w:trHeight w:val="320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100%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30-60 дней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Autospacing="1" w:afterAutospacing="1"/>
        <w:rPr>
          <w:color w:val="000000"/>
        </w:rPr>
      </w:pPr>
      <w:r>
        <w:rPr>
          <w:color w:val="000000"/>
        </w:rPr>
      </w:r>
    </w:p>
    <w:p>
      <w:pPr>
        <w:sectPr>
          <w:footerReference w:type="default" r:id="rId39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п. Ильинское-Хованское)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9487535" cy="5363210"/>
            <wp:effectExtent l="0" t="0" r="0" b="0"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1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п. Ильинское-Хованское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28,1 га</w:t>
      </w:r>
    </w:p>
    <w:p>
      <w:pPr>
        <w:pStyle w:val="Normal"/>
        <w:jc w:val="center"/>
        <w:rPr/>
      </w:pPr>
      <w:r>
        <w:rPr/>
        <w:t>Земли промышленности и транспорта.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rPr>
          <w:sz w:val="24"/>
          <w:szCs w:val="24"/>
        </w:rPr>
      </w:pPr>
      <w:r>
        <w:rPr/>
        <w:drawing>
          <wp:inline distT="0" distB="0" distL="0" distR="0">
            <wp:extent cx="6268085" cy="6220460"/>
            <wp:effectExtent l="0" t="0" r="0" b="0"/>
            <wp:docPr id="6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right="426" w:hanging="0"/>
        <w:jc w:val="both"/>
        <w:rPr/>
      </w:pPr>
      <w:r>
        <w:rPr>
          <w:b/>
          <w:bCs/>
          <w:color w:val="FF0000"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-2х10 МВт, расстояние до ближайшей сети – 500 м</w:t>
      </w:r>
    </w:p>
    <w:p>
      <w:pPr>
        <w:pStyle w:val="Normal"/>
        <w:ind w:right="426" w:hanging="0"/>
        <w:jc w:val="both"/>
        <w:rPr/>
      </w:pPr>
      <w:r>
        <w:rPr>
          <w:b/>
          <w:bCs/>
          <w:color w:val="006600"/>
          <w:sz w:val="24"/>
          <w:szCs w:val="24"/>
        </w:rPr>
        <w:t>Водоснабжение</w:t>
      </w:r>
      <w:r>
        <w:rPr>
          <w:b/>
          <w:bCs/>
          <w:sz w:val="24"/>
          <w:szCs w:val="24"/>
        </w:rPr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Ближайшая сеть – 500 м</w:t>
      </w:r>
    </w:p>
    <w:p>
      <w:pPr>
        <w:pStyle w:val="Normal"/>
        <w:ind w:right="426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color w:val="663300"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>- Ближайшая сеть – 300 м</w:t>
      </w:r>
    </w:p>
    <w:p>
      <w:pPr>
        <w:pStyle w:val="Normal"/>
        <w:ind w:right="426" w:hanging="0"/>
        <w:jc w:val="both"/>
        <w:rPr>
          <w:i/>
          <w:i/>
          <w:iCs/>
          <w:spacing w:val="-10"/>
          <w:sz w:val="24"/>
          <w:szCs w:val="24"/>
        </w:rPr>
      </w:pPr>
      <w:r>
        <w:rPr>
          <w:b/>
          <w:bCs/>
          <w:color w:val="E36C0A"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ab/>
        <w:tab/>
        <w:t>- Мощность – 10000 м</w:t>
      </w:r>
      <w:r>
        <w:rPr>
          <w:i/>
          <w:iCs/>
          <w:sz w:val="24"/>
          <w:szCs w:val="24"/>
          <w:vertAlign w:val="superscript"/>
        </w:rPr>
        <w:t>3</w:t>
      </w:r>
      <w:r>
        <w:rPr>
          <w:i/>
          <w:iCs/>
          <w:sz w:val="24"/>
          <w:szCs w:val="24"/>
        </w:rPr>
        <w:t>/час, ближайшая сеть – 400 м</w:t>
      </w:r>
    </w:p>
    <w:p>
      <w:pPr>
        <w:pStyle w:val="Normal"/>
        <w:ind w:right="285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– 400 м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ближайшие ж/д станции: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г. Тейково (Ивановская обл.)  – 53 км, </w:t>
      </w:r>
    </w:p>
    <w:p>
      <w:pPr>
        <w:pStyle w:val="Normal"/>
        <w:ind w:left="2820" w:right="285" w:firstLine="7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г. Ростов (Ярославская обл.) – 45 км</w:t>
      </w:r>
      <w:r>
        <w:br w:type="page"/>
      </w:r>
    </w:p>
    <w:p>
      <w:pPr>
        <w:pStyle w:val="Normal"/>
        <w:widowControl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Autospacing="1" w:afterAutospacing="1"/>
        <w:ind w:left="708" w:hanging="0"/>
        <w:rPr>
          <w:color w:val="000000"/>
        </w:rPr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</w:t>
      </w:r>
    </w:p>
    <w:tbl>
      <w:tblPr>
        <w:tblW w:w="9654" w:type="dxa"/>
        <w:jc w:val="left"/>
        <w:tblInd w:w="-26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6110"/>
        <w:gridCol w:w="3543"/>
      </w:tblGrid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Ориентировочная кадастровая стоимость 14 000 000,00 руб.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Территория бывшего крахмального завода, неправильной формы, рельеф - ровный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10,0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Касимова Елена Владимировна – глава Ивашевского  сельского поселения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Тел./факс 8(49353) 2-52-18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Крахмальный завод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Артезианская скважина на территории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Непосредственно рядом с территорией площадки проходит линия ВЛ-10 кВ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8,0 км. (п. Ильинское-Хованское)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сеть- межпоселковый газопровод от газопровода «ГРС Ильинское- с. Аньково» до с. Ивашево, распределительный газопровод по 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централизованная сеть – 8,0 км. (п. Ильинское-Хованское), пруды-отстойники – 0,5 км. севернее площадки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 (грунтовая дорога)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Ростов-Иваново-Н.Новгород 8,0 км.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 км. – г. Тейково Ивановской области,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58 км.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0,1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выписки(</w:t>
            </w:r>
            <w:r>
              <w:rPr>
                <w:sz w:val="22"/>
                <w:szCs w:val="22"/>
              </w:rPr>
              <w:t xml:space="preserve"> 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Часть земельного участка расположена в водоохраной зоне реки Ухтома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30-90 дней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Autospacing="1" w:afterAutospacing="1"/>
        <w:rPr>
          <w:color w:val="000000"/>
        </w:rPr>
      </w:pPr>
      <w:r>
        <w:rPr>
          <w:color w:val="000000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sectPr>
          <w:footerReference w:type="default" r:id="rId43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с. Ивашево)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9087485" cy="5125085"/>
            <wp:effectExtent l="0" t="0" r="0" b="0"/>
            <wp:docPr id="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8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5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с. Ивашево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10 га</w:t>
      </w:r>
    </w:p>
    <w:p>
      <w:pPr>
        <w:pStyle w:val="Normal"/>
        <w:jc w:val="center"/>
        <w:rPr/>
      </w:pPr>
      <w:r>
        <w:rPr/>
        <w:t>Земли населенных пунктов.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249035" cy="6210935"/>
            <wp:effectExtent l="0" t="0" r="0" b="0"/>
            <wp:docPr id="8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-Непосредственно рядом с площадкой проходит линия</w:t>
      </w:r>
    </w:p>
    <w:p>
      <w:pPr>
        <w:pStyle w:val="Normal"/>
        <w:ind w:right="140" w:hanging="0"/>
        <w:jc w:val="both"/>
        <w:rPr/>
      </w:pPr>
      <w:r>
        <w:rPr>
          <w:i/>
          <w:iCs/>
          <w:sz w:val="24"/>
          <w:szCs w:val="24"/>
        </w:rPr>
        <w:tab/>
        <w:tab/>
        <w:tab/>
        <w:tab/>
        <w:tab/>
        <w:t>ВЛ – 10 кВ</w:t>
      </w:r>
    </w:p>
    <w:p>
      <w:pPr>
        <w:pStyle w:val="Normal"/>
        <w:ind w:right="140" w:hanging="0"/>
        <w:jc w:val="both"/>
        <w:rPr/>
      </w:pPr>
      <w:r>
        <w:rPr>
          <w:b/>
          <w:bCs/>
          <w:sz w:val="24"/>
          <w:szCs w:val="24"/>
        </w:rPr>
        <w:t>Водоснабжение</w:t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Артезианская скважина на территории площадки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 xml:space="preserve">- Пруды – отстойники (7,1 га)  в 0,5 км севернее площадки,  </w:t>
      </w:r>
    </w:p>
    <w:p>
      <w:pPr>
        <w:pStyle w:val="Normal"/>
        <w:ind w:left="354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ближайшая централизованная сеть в 8,0 км пос. Ильинское-Хованское</w:t>
      </w:r>
    </w:p>
    <w:p>
      <w:pPr>
        <w:pStyle w:val="Normal"/>
        <w:ind w:left="3544" w:right="140" w:hanging="3544"/>
        <w:jc w:val="both"/>
        <w:rPr>
          <w:i/>
          <w:i/>
          <w:iCs/>
          <w:spacing w:val="-10"/>
          <w:sz w:val="24"/>
          <w:szCs w:val="24"/>
        </w:rPr>
      </w:pPr>
      <w:r>
        <w:rPr>
          <w:b/>
          <w:bCs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>- Ближайшая сеть: межпоселковый газопровод от газопровода «ГРС Ильинская – с. Аньково» до с. Ивашево, распределительный газопровод по с. Ивашево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непосредственно рядом с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ab/>
        <w:t>площадкой, ближайшие ж/д станции: г.Тейково (Ивановс-</w:t>
      </w:r>
    </w:p>
    <w:p>
      <w:pPr>
        <w:pStyle w:val="Normal"/>
        <w:ind w:right="140" w:firstLine="708"/>
        <w:jc w:val="both"/>
        <w:rPr>
          <w:sz w:val="24"/>
          <w:szCs w:val="24"/>
          <w:u w:val="single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>кая обл.)  – 48 км, г. Ростов (Ярославская обл.) – 53 км</w:t>
      </w:r>
      <w:r>
        <w:br w:type="page"/>
      </w:r>
    </w:p>
    <w:p>
      <w:pPr>
        <w:pStyle w:val="Normal"/>
        <w:shd w:val="clear" w:color="auto" w:fill="FFFFFF"/>
        <w:spacing w:lineRule="exact" w:line="274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ind w:right="142"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  <w:color w:val="000000"/>
        </w:rPr>
      </w:pPr>
      <w:r>
        <w:rPr>
          <w:b/>
          <w:bCs/>
          <w:color w:val="000000"/>
        </w:rPr>
        <w:t>Паспорт «коричневой» площадки __</w:t>
      </w:r>
      <w:r>
        <w:rPr>
          <w:b/>
          <w:bCs/>
          <w:color w:val="000000"/>
          <w:u w:val="single"/>
        </w:rPr>
        <w:t>Нежилое здание</w:t>
      </w:r>
      <w:r>
        <w:rPr>
          <w:b/>
          <w:bCs/>
          <w:color w:val="000000"/>
        </w:rPr>
        <w:t>________________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tbl>
      <w:tblPr>
        <w:tblW w:w="9923" w:type="dxa"/>
        <w:jc w:val="left"/>
        <w:tblInd w:w="-26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6237"/>
        <w:gridCol w:w="3685"/>
      </w:tblGrid>
      <w:tr>
        <w:trPr>
          <w:trHeight w:val="277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ind w:right="708" w:hanging="0"/>
              <w:rPr>
                <w:color w:val="000000"/>
              </w:rPr>
            </w:pPr>
            <w:r>
              <w:rPr>
                <w:color w:val="00000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Класс объекта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ind w:right="708" w:hanging="0"/>
              <w:rPr>
                <w:color w:val="000000"/>
              </w:rPr>
            </w:pPr>
            <w:r>
              <w:rPr>
                <w:color w:val="000000"/>
              </w:rPr>
              <w:t>Нежилое здание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Инвентаризационная оценка (руб.)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65849 (восстановительная стоимость)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34285 (действительная собственность) 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Балансовая стоимость, тыс.руб.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7 185 270,00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Год постройки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1984 г.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Наименование объекта (первичное назначение)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Нежилое здание (детский сад)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Общая площадь (кв.м.)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712,6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Длина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36,03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Ширина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12,90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Высота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2,86- первый этаж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3,00 – второй этаж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Площадь примыкающей площадки, га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0,4484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Земли населенных пунктов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Описание земельного участка (форма, рельеф и т.п.)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ind w:left="118" w:hanging="0"/>
              <w:rPr>
                <w:color w:val="000000"/>
              </w:rPr>
            </w:pPr>
            <w:r>
              <w:rPr>
                <w:color w:val="000000"/>
              </w:rPr>
              <w:t>Прямоугольной формы, рельеф-ровный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Описание местоположения объекта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Адресная часть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Ивановская область, Ильинский район, с. Нажерово, ул. Советская, д.5а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Собственник</w:t>
            </w:r>
            <w:r>
              <w:rPr>
                <w:color w:val="000000"/>
              </w:rPr>
              <w:t xml:space="preserve">(принадлежность объекта)                        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Администрация Ивашевского сельского поселения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Контактное лицо</w:t>
            </w:r>
            <w:r>
              <w:rPr>
                <w:color w:val="000000"/>
              </w:rPr>
              <w:t xml:space="preserve"> (ФИО)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spacing w:val="-6"/>
              </w:rPr>
              <w:t>Касимова Елена Владимировна – глава администрации Ивашевского сельского поселения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Координаты для контакта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Тел./</w:t>
            </w:r>
            <w:r>
              <w:rPr>
                <w:color w:val="000000"/>
                <w:lang w:val="en-US"/>
              </w:rPr>
              <w:t>fax</w:t>
            </w:r>
            <w:r>
              <w:rPr>
                <w:color w:val="000000"/>
              </w:rPr>
              <w:t xml:space="preserve"> (49353) 2</w:t>
            </w:r>
            <w:r>
              <w:rPr>
                <w:b/>
                <w:bCs/>
                <w:color w:val="000000"/>
              </w:rPr>
              <w:t>–</w:t>
            </w:r>
            <w:r>
              <w:rPr>
                <w:color w:val="000000"/>
              </w:rPr>
              <w:t>52–18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Описание конструкций объекта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Этажность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Двухэтажное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Материал стен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Кирпич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Фотографии, схемы, планы помещений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Схема и планы прилагаются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Инженерные коммуникации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Центральный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КТП на территории площадки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Угольная котельная на территории площадки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Газ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Нет, 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>Ближайшие сети – межпоселковый газопровод от газопровода «ГРС Ильинская – с. Аньково» до с. Ивашево (18 км)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Центральная (в отстойники)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Подъездные пути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Наличие собственной ж/д ветки (имеется, отсутствует)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Отсутствует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основных автомагистралей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spacing w:val="-6"/>
              </w:rPr>
              <w:t>Автодорога республиканского значения: Ростов – Иваново – Н.Новгород (25 км)</w:t>
            </w:r>
          </w:p>
        </w:tc>
      </w:tr>
      <w:tr>
        <w:trPr>
          <w:trHeight w:val="3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Расстояние до ж/д станции (км)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Ж/д станции:</w:t>
            </w:r>
          </w:p>
          <w:p>
            <w:pPr>
              <w:pStyle w:val="Normal"/>
              <w:rPr/>
            </w:pPr>
            <w:r>
              <w:rPr/>
              <w:t>г. Тейково (Ивановская область) – 66 км</w:t>
            </w:r>
          </w:p>
          <w:p>
            <w:pPr>
              <w:pStyle w:val="Normal"/>
              <w:rPr>
                <w:color w:val="000000"/>
              </w:rPr>
            </w:pPr>
            <w:r>
              <w:rPr/>
              <w:t>г. Ростов (Ярославская область) – 70 км</w:t>
            </w:r>
          </w:p>
        </w:tc>
      </w:tr>
      <w:tr>
        <w:trPr>
          <w:trHeight w:val="3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точки врезки ж/д путей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60 км.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ближайшего жилья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В черте населенного пункта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Возможность расширения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Возможность обособления территории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Юридическая документация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  <w:spacing w:val="-2"/>
              </w:rPr>
              <w:t>Свидетельство о государственной регистрации права от 02.07.2014 г. № 37СС 474260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 xml:space="preserve">11344,52 руб. </w:t>
            </w:r>
          </w:p>
          <w:p>
            <w:pPr>
              <w:pStyle w:val="Normal"/>
              <w:rPr>
                <w:color w:val="000000"/>
              </w:rPr>
            </w:pPr>
            <w:r>
              <w:rPr/>
              <w:t>(распоряжение главы Нажеровского сельсовета №18 от 21.09.1993 г.)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Техническая  инвентаризация  от 24.02.2010 г.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Обременения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/>
              <w:t>нет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Малое производственное предприятие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100%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Дополнительные сведения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Дата подготовки сведений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31.01.2019</w:t>
            </w:r>
          </w:p>
        </w:tc>
      </w:tr>
    </w:tbl>
    <w:p>
      <w:pPr>
        <w:pStyle w:val="Normal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Ильинский муниципальный район, с. Нажерово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(местонахождение объекта – Ильинский район, с. Нажерово, ул. Советская, д.5а </w:t>
      </w:r>
    </w:p>
    <w:p>
      <w:pPr>
        <w:sectPr>
          <w:footerReference w:type="default" r:id="rId47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1842"/>
        </w:sect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>(бывший детский сад))</w:t>
      </w:r>
    </w:p>
    <w:p>
      <w:pPr>
        <w:pStyle w:val="Normal"/>
        <w:ind w:left="-426" w:hanging="0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6249035" cy="6249035"/>
            <wp:effectExtent l="0" t="0" r="0" b="0"/>
            <wp:docPr id="9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>Поэтажный план здания детского сада</w:t>
      </w:r>
    </w:p>
    <w:p>
      <w:pPr>
        <w:pStyle w:val="Normal"/>
        <w:jc w:val="center"/>
        <w:rPr>
          <w:b/>
          <w:b/>
          <w:bCs/>
          <w:sz w:val="24"/>
          <w:szCs w:val="24"/>
          <w:u w:val="single"/>
        </w:rPr>
      </w:pPr>
      <w:r>
        <w:rPr/>
        <w:drawing>
          <wp:inline distT="0" distB="0" distL="0" distR="0">
            <wp:extent cx="6096635" cy="3048635"/>
            <wp:effectExtent l="0" t="0" r="0" b="0"/>
            <wp:docPr id="10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>
          <w:b/>
          <w:b/>
          <w:bCs/>
          <w:sz w:val="24"/>
          <w:szCs w:val="24"/>
          <w:u w:val="single"/>
        </w:rPr>
      </w:pPr>
      <w:r>
        <w:rPr/>
        <w:drawing>
          <wp:inline distT="0" distB="0" distL="0" distR="0">
            <wp:extent cx="6096635" cy="3239135"/>
            <wp:effectExtent l="0" t="0" r="0" b="0"/>
            <wp:docPr id="11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Фотографические материалы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tbl>
      <w:tblPr>
        <w:tblW w:w="16410" w:type="dxa"/>
        <w:jc w:val="left"/>
        <w:tblInd w:w="3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a0"/>
      </w:tblPr>
      <w:tblGrid>
        <w:gridCol w:w="8205"/>
        <w:gridCol w:w="8204"/>
      </w:tblGrid>
      <w:tr>
        <w:trPr/>
        <w:tc>
          <w:tcPr>
            <w:tcW w:w="8205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96385" cy="3058160"/>
                  <wp:effectExtent l="0" t="0" r="0" b="0"/>
                  <wp:docPr id="12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38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передний фасад</w:t>
            </w:r>
          </w:p>
        </w:tc>
        <w:tc>
          <w:tcPr>
            <w:tcW w:w="8204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67810" cy="3058160"/>
                  <wp:effectExtent l="0" t="0" r="0" b="0"/>
                  <wp:docPr id="13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задний фасад</w:t>
            </w:r>
          </w:p>
        </w:tc>
      </w:tr>
      <w:tr>
        <w:trPr/>
        <w:tc>
          <w:tcPr>
            <w:tcW w:w="8205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77335" cy="3058160"/>
                  <wp:effectExtent l="0" t="0" r="0" b="0"/>
                  <wp:docPr id="14" name="Рисунок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33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(левый)</w:t>
            </w:r>
          </w:p>
        </w:tc>
        <w:tc>
          <w:tcPr>
            <w:tcW w:w="8204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86860" cy="3058160"/>
                  <wp:effectExtent l="0" t="0" r="0" b="0"/>
                  <wp:docPr id="15" name="Рисунок 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86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(правый)</w:t>
            </w:r>
          </w:p>
        </w:tc>
      </w:tr>
    </w:tbl>
    <w:p>
      <w:pPr>
        <w:sectPr>
          <w:footerReference w:type="default" r:id="rId55"/>
          <w:type w:val="nextPage"/>
          <w:pgSz w:orient="landscape" w:w="16838" w:h="11906"/>
          <w:pgMar w:left="284" w:right="284" w:header="0" w:top="284" w:footer="284" w:bottom="341" w:gutter="0"/>
          <w:pgNumType w:fmt="decimal"/>
          <w:formProt w:val="false"/>
          <w:textDirection w:val="lrTb"/>
          <w:docGrid w:type="default" w:linePitch="360" w:charSpace="1842"/>
        </w:sectPr>
      </w:pP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095" w:type="dxa"/>
        <w:jc w:val="left"/>
        <w:tblInd w:w="-75" w:type="dxa"/>
        <w:tblBorders>
          <w:top w:val="thickThinLargeGap" w:sz="6" w:space="0" w:color="C0C0C0"/>
          <w:left w:val="thickThinLargeGap" w:sz="6" w:space="0" w:color="C0C0C0"/>
          <w:bottom w:val="thickThinLargeGap" w:sz="6" w:space="0" w:color="C0C0C0"/>
          <w:insideH w:val="thickThinLargeGap" w:sz="6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750"/>
        <w:gridCol w:w="3344"/>
      </w:tblGrid>
      <w:tr>
        <w:trPr>
          <w:trHeight w:val="277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1970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Для размещения хлебозавода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1298,5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61,8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22,15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5,85 — цех, 3,75 — основное здание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0,4176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Советская, д.74Б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Потребительское общество «Ильинское»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Богуш Валентина Николаевна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8(49353) 2-11-35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+7-964-495-95-79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(ТП —  трансформаторная подстанция 1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Газовое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Газовая котельная (мощность 200 кВт)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(0,8 км.)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0" w:right="794" w:hanging="0"/>
              <w:jc w:val="left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Аренда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1075837,50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</w:t>
            </w:r>
            <w:r>
              <w:rPr>
                <w:color w:val="FF3333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 xml:space="preserve">26.12.2001г.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Продажа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Требуется капитальный и косметический ремонт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31.01.2019г</w:t>
            </w:r>
          </w:p>
        </w:tc>
      </w:tr>
    </w:tbl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-371475</wp:posOffset>
            </wp:positionH>
            <wp:positionV relativeFrom="paragraph">
              <wp:posOffset>144780</wp:posOffset>
            </wp:positionV>
            <wp:extent cx="6966585" cy="4480560"/>
            <wp:effectExtent l="0" t="0" r="0" b="0"/>
            <wp:wrapSquare wrapText="largest"/>
            <wp:docPr id="16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96520</wp:posOffset>
            </wp:positionH>
            <wp:positionV relativeFrom="paragraph">
              <wp:posOffset>34290</wp:posOffset>
            </wp:positionV>
            <wp:extent cx="6162675" cy="8336280"/>
            <wp:effectExtent l="0" t="0" r="0" b="0"/>
            <wp:wrapSquare wrapText="largest"/>
            <wp:docPr id="17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/>
      </w:pPr>
      <w:r>
        <w:rPr>
          <w:b/>
          <w:color w:val="000000"/>
          <w:sz w:val="20"/>
          <w:szCs w:val="20"/>
        </w:rPr>
        <w:br/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227445" cy="4973320"/>
            <wp:effectExtent l="0" t="0" r="0" b="0"/>
            <wp:wrapSquare wrapText="largest"/>
            <wp:docPr id="18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9867" w:type="dxa"/>
        <w:jc w:val="left"/>
        <w:tblInd w:w="-105" w:type="dxa"/>
        <w:tblBorders>
          <w:top w:val="thickThinLargeGap" w:sz="6" w:space="0" w:color="C0C0C0"/>
          <w:left w:val="thickThinLargeGap" w:sz="6" w:space="0" w:color="C0C0C0"/>
          <w:bottom w:val="thickThinLargeGap" w:sz="6" w:space="0" w:color="C0C0C0"/>
          <w:insideH w:val="thickThinLargeGap" w:sz="6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5744"/>
        <w:gridCol w:w="4122"/>
      </w:tblGrid>
      <w:tr>
        <w:trPr>
          <w:trHeight w:val="277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397" w:right="0" w:hanging="0"/>
              <w:jc w:val="left"/>
              <w:rPr/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1989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Производственная база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1284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54,96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18,76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3,38 - первый этаж, 8 - склад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2,85 - второй этаж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2,95 - третий этаж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0,6106, асфальтовая площадка — 2500 кв.м.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Садовая, 39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Частная собственность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Савельев Валерий Витальевич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+7-920-355-54-37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Трехэтажное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(ЗТП — закрытая трансформаторная подстанция 2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Газовая котельная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Теплогенератор (мощность - 80 кВт)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— 0,010</w:t>
            </w:r>
          </w:p>
        </w:tc>
      </w:tr>
      <w:tr>
        <w:trPr>
          <w:trHeight w:val="3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 от 07.09.2015 г. № 37СС 649318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1401831,00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  12.04.2007г.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Аренда, продажа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30.01.2019г.</w:t>
            </w:r>
          </w:p>
        </w:tc>
      </w:tr>
    </w:tbl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>Схема расположения земельного участка, находящегося по адресу: Ивановская область, Ильтинский район, п. Ильинское-Хованское, ул. Садовая, д.39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</w:r>
    </w:p>
    <w:p>
      <w:pPr>
        <w:pStyle w:val="Normal"/>
        <w:jc w:val="left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720080" cy="3700145"/>
            <wp:effectExtent l="0" t="0" r="0" b="0"/>
            <wp:docPr id="19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240" w:after="60"/>
        <w:jc w:val="center"/>
        <w:rPr/>
      </w:pPr>
      <w:r>
        <w:rPr/>
        <w:drawing>
          <wp:inline distT="0" distB="0" distL="0" distR="0">
            <wp:extent cx="5347970" cy="3705860"/>
            <wp:effectExtent l="0" t="0" r="0" b="0"/>
            <wp:docPr id="2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779145</wp:posOffset>
            </wp:positionH>
            <wp:positionV relativeFrom="paragraph">
              <wp:posOffset>9157335</wp:posOffset>
            </wp:positionV>
            <wp:extent cx="4878070" cy="9554845"/>
            <wp:effectExtent l="0" t="0" r="0" b="0"/>
            <wp:wrapSquare wrapText="largest"/>
            <wp:docPr id="21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955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62"/>
      <w:type w:val="nextPage"/>
      <w:pgSz w:w="11906" w:h="16838"/>
      <w:pgMar w:left="1110" w:right="567" w:header="0" w:top="420" w:footer="709" w:bottom="851" w:gutter="0"/>
      <w:pgNumType w:fmt="decimal"/>
      <w:formProt w:val="false"/>
      <w:textDirection w:val="lrTb"/>
      <w:docGrid w:type="default" w:linePitch="360" w:charSpace="184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Bookman Old Style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12</w:t>
    </w:r>
    <w:r>
      <w:fldChar w:fldCharType="end"/>
    </w:r>
  </w:p>
  <w:p>
    <w:pPr>
      <w:pStyle w:val="Style23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13</w:t>
    </w:r>
    <w:r>
      <w:fldChar w:fldCharType="end"/>
    </w:r>
  </w:p>
  <w:p>
    <w:pPr>
      <w:pStyle w:val="Style23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17</w:t>
    </w:r>
    <w:r>
      <w:fldChar w:fldCharType="end"/>
    </w:r>
  </w:p>
  <w:p>
    <w:pPr>
      <w:pStyle w:val="Style23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18</w:t>
    </w:r>
    <w:r>
      <w:fldChar w:fldCharType="end"/>
    </w:r>
  </w:p>
  <w:p>
    <w:pPr>
      <w:pStyle w:val="Style23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23</w:t>
    </w:r>
    <w:r>
      <w:fldChar w:fldCharType="end"/>
    </w:r>
  </w:p>
  <w:p>
    <w:pPr>
      <w:pStyle w:val="Style23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34</w:t>
    </w:r>
    <w:r>
      <w:fldChar w:fldCharType="end"/>
    </w:r>
  </w:p>
  <w:p>
    <w:pPr>
      <w:pStyle w:val="Style23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  <w:b/>
        <w:rFonts w:cs="Courier New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2"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4"/>
        <w:rFonts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locked="1" w:uiPriority="0" w:semiHidden="0" w:unhideWhenUsed="0" w:qFormat="1"/>
    <w:lsdException w:name="heading 1" w:locked="1" w:uiPriority="0" w:semiHidden="0" w:unhideWhenUsed="0" w:qFormat="1"/>
    <w:lsdException w:name="heading 2" w:locked="1" w:uiPriority="0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uiPriority="0" w:semiHidden="0" w:unhideWhenUsed="0"/>
    <w:lsdException w:name="footer" w:locked="1" w:uiPriority="0" w:semiHidden="0" w:unhideWhenUsed="0"/>
    <w:lsdException w:name="caption" w:locked="1" w:uiPriority="0" w:qFormat="1"/>
    <w:lsdException w:name="Title" w:locked="1" w:uiPriority="0" w:semiHidden="0" w:unhideWhenUsed="0" w:qFormat="1"/>
    <w:lsdException w:name="Default Paragraph Font" w:uiPriority="1"/>
    <w:lsdException w:name="Subtitle" w:locked="1" w:uiPriority="0" w:semiHidden="0" w:unhideWhenUsed="0" w:qFormat="1"/>
    <w:lsdException w:name="Strong" w:locked="1" w:uiPriority="0" w:semiHidden="0" w:unhideWhenUsed="0" w:qFormat="1"/>
    <w:lsdException w:name="Emphasis" w:locked="1" w:uiPriority="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e624c1"/>
    <w:pPr>
      <w:widowControl w:val="false"/>
      <w:suppressAutoHyphens w:val="false"/>
      <w:bidi w:val="0"/>
      <w:jc w:val="left"/>
    </w:pPr>
    <w:rPr>
      <w:rFonts w:ascii="Times New Roman" w:hAnsi="Times New Roman" w:eastAsia="Times New Roman" w:cs="Times New Roman"/>
      <w:color w:val="00000A"/>
      <w:kern w:val="0"/>
      <w:sz w:val="20"/>
      <w:szCs w:val="20"/>
      <w:lang w:val="ru-RU" w:eastAsia="ru-RU" w:bidi="ar-SA"/>
    </w:rPr>
  </w:style>
  <w:style w:type="paragraph" w:styleId="2">
    <w:name w:val="Heading 2"/>
    <w:basedOn w:val="Normal"/>
    <w:link w:val="20"/>
    <w:uiPriority w:val="99"/>
    <w:qFormat/>
    <w:rsid w:val="00422f54"/>
    <w:pPr>
      <w:keepNext w:val="true"/>
      <w:widowControl/>
      <w:spacing w:lineRule="auto" w:line="276" w:before="240" w:after="60"/>
      <w:outlineLvl w:val="1"/>
    </w:pPr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1" w:customStyle="1">
    <w:name w:val="Заголовок 2 Знак"/>
    <w:basedOn w:val="DefaultParagraphFont"/>
    <w:link w:val="2"/>
    <w:uiPriority w:val="99"/>
    <w:qFormat/>
    <w:locked/>
    <w:rsid w:val="00422f54"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Style13">
    <w:name w:val="Интернет-ссылка"/>
    <w:basedOn w:val="DefaultParagraphFont"/>
    <w:uiPriority w:val="99"/>
    <w:rsid w:val="00e624c1"/>
    <w:rPr>
      <w:color w:val="0000FF"/>
      <w:u w:val="single"/>
    </w:rPr>
  </w:style>
  <w:style w:type="character" w:styleId="Style14" w:customStyle="1">
    <w:name w:val="Верхний колонтитул Знак"/>
    <w:basedOn w:val="DefaultParagraphFont"/>
    <w:link w:val="a4"/>
    <w:uiPriority w:val="99"/>
    <w:qFormat/>
    <w:locked/>
    <w:rsid w:val="004f3d9a"/>
    <w:rPr/>
  </w:style>
  <w:style w:type="character" w:styleId="Style15" w:customStyle="1">
    <w:name w:val="Нижний колонтитул Знак"/>
    <w:basedOn w:val="DefaultParagraphFont"/>
    <w:link w:val="a6"/>
    <w:uiPriority w:val="99"/>
    <w:qFormat/>
    <w:locked/>
    <w:rsid w:val="004f3d9a"/>
    <w:rPr/>
  </w:style>
  <w:style w:type="character" w:styleId="Style16" w:customStyle="1">
    <w:name w:val="Текст выноски Знак"/>
    <w:basedOn w:val="DefaultParagraphFont"/>
    <w:link w:val="a9"/>
    <w:uiPriority w:val="99"/>
    <w:qFormat/>
    <w:locked/>
    <w:rsid w:val="00df566a"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ascii="Bookman Old Style" w:hAnsi="Bookman Old Style" w:cs="Courier New"/>
      <w:b/>
      <w:sz w:val="24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Wingdings"/>
    </w:rPr>
  </w:style>
  <w:style w:type="character" w:styleId="ListLabel6">
    <w:name w:val="ListLabel 6"/>
    <w:qFormat/>
    <w:rPr>
      <w:rFonts w:cs="Symbol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Wingdings"/>
    </w:rPr>
  </w:style>
  <w:style w:type="character" w:styleId="ListLabel9">
    <w:name w:val="ListLabel 9"/>
    <w:qFormat/>
    <w:rPr>
      <w:rFonts w:cs="Symbol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Wingdings"/>
    </w:rPr>
  </w:style>
  <w:style w:type="character" w:styleId="ListLabel12">
    <w:name w:val="ListLabel 12"/>
    <w:qFormat/>
    <w:rPr>
      <w:color w:val="000000"/>
    </w:rPr>
  </w:style>
  <w:style w:type="character" w:styleId="ListLabel13">
    <w:name w:val="ListLabel 13"/>
    <w:qFormat/>
    <w:rPr>
      <w:color w:val="000000"/>
    </w:rPr>
  </w:style>
  <w:style w:type="character" w:styleId="ListLabel14">
    <w:name w:val="ListLabel 14"/>
    <w:qFormat/>
    <w:rPr>
      <w:color w:val="00000A"/>
    </w:rPr>
  </w:style>
  <w:style w:type="character" w:styleId="ListLabel15">
    <w:name w:val="ListLabel 15"/>
    <w:qFormat/>
    <w:rPr>
      <w:color w:val="000000"/>
    </w:rPr>
  </w:style>
  <w:style w:type="character" w:styleId="ListLabel16">
    <w:name w:val="ListLabel 16"/>
    <w:qFormat/>
    <w:rPr>
      <w:color w:val="000000"/>
    </w:rPr>
  </w:style>
  <w:style w:type="character" w:styleId="ListLabel17">
    <w:name w:val="ListLabel 17"/>
    <w:qFormat/>
    <w:rPr>
      <w:color w:val="000000"/>
    </w:rPr>
  </w:style>
  <w:style w:type="character" w:styleId="ListLabel18">
    <w:name w:val="ListLabel 18"/>
    <w:qFormat/>
    <w:rPr>
      <w:color w:val="000000"/>
    </w:rPr>
  </w:style>
  <w:style w:type="character" w:styleId="ListLabel19">
    <w:name w:val="ListLabel 19"/>
    <w:qFormat/>
    <w:rPr>
      <w:color w:val="000000"/>
    </w:rPr>
  </w:style>
  <w:style w:type="character" w:styleId="ListLabel20">
    <w:name w:val="ListLabel 20"/>
    <w:qFormat/>
    <w:rPr>
      <w:color w:val="000000"/>
    </w:rPr>
  </w:style>
  <w:style w:type="character" w:styleId="ListLabel21">
    <w:name w:val="ListLabel 21"/>
    <w:qFormat/>
    <w:rPr>
      <w:rFonts w:ascii="Bookman Old Style" w:hAnsi="Bookman Old Style" w:cs="Courier New"/>
      <w:sz w:val="24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Wingdings"/>
    </w:rPr>
  </w:style>
  <w:style w:type="character" w:styleId="ListLabel24">
    <w:name w:val="ListLabel 24"/>
    <w:qFormat/>
    <w:rPr>
      <w:rFonts w:cs="Symbol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Wingdings"/>
    </w:rPr>
  </w:style>
  <w:style w:type="character" w:styleId="ListLabel27">
    <w:name w:val="ListLabel 27"/>
    <w:qFormat/>
    <w:rPr>
      <w:rFonts w:cs="Symbol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Wingdings"/>
    </w:rPr>
  </w:style>
  <w:style w:type="character" w:styleId="ListLabel30">
    <w:name w:val="ListLabel 30"/>
    <w:qFormat/>
    <w:rPr>
      <w:rFonts w:ascii="Bookman Old Style" w:hAnsi="Bookman Old Style" w:cs="Courier New"/>
      <w:b/>
      <w:sz w:val="24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Wingdings"/>
    </w:rPr>
  </w:style>
  <w:style w:type="character" w:styleId="ListLabel33">
    <w:name w:val="ListLabel 33"/>
    <w:qFormat/>
    <w:rPr>
      <w:rFonts w:cs="Symbol"/>
    </w:rPr>
  </w:style>
  <w:style w:type="character" w:styleId="ListLabel34">
    <w:name w:val="ListLabel 34"/>
    <w:qFormat/>
    <w:rPr>
      <w:rFonts w:cs="Courier New"/>
    </w:rPr>
  </w:style>
  <w:style w:type="character" w:styleId="ListLabel35">
    <w:name w:val="ListLabel 35"/>
    <w:qFormat/>
    <w:rPr>
      <w:rFonts w:cs="Wingdings"/>
    </w:rPr>
  </w:style>
  <w:style w:type="character" w:styleId="ListLabel36">
    <w:name w:val="ListLabel 36"/>
    <w:qFormat/>
    <w:rPr>
      <w:rFonts w:cs="Symbol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Wingdings"/>
    </w:rPr>
  </w:style>
  <w:style w:type="character" w:styleId="ListLabel39">
    <w:name w:val="ListLabel 39"/>
    <w:qFormat/>
    <w:rPr>
      <w:rFonts w:ascii="Bookman Old Style" w:hAnsi="Bookman Old Style" w:cs="Courier New"/>
      <w:sz w:val="24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Wingdings"/>
    </w:rPr>
  </w:style>
  <w:style w:type="character" w:styleId="ListLabel42">
    <w:name w:val="ListLabel 42"/>
    <w:qFormat/>
    <w:rPr>
      <w:rFonts w:cs="Symbol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Wingdings"/>
    </w:rPr>
  </w:style>
  <w:style w:type="character" w:styleId="ListLabel45">
    <w:name w:val="ListLabel 45"/>
    <w:qFormat/>
    <w:rPr>
      <w:rFonts w:cs="Symbol"/>
    </w:rPr>
  </w:style>
  <w:style w:type="character" w:styleId="ListLabel46">
    <w:name w:val="ListLabel 46"/>
    <w:qFormat/>
    <w:rPr>
      <w:rFonts w:cs="Courier New"/>
    </w:rPr>
  </w:style>
  <w:style w:type="character" w:styleId="ListLabel47">
    <w:name w:val="ListLabel 47"/>
    <w:qFormat/>
    <w:rPr>
      <w:rFonts w:cs="Wingdings"/>
    </w:rPr>
  </w:style>
  <w:style w:type="character" w:styleId="ListLabel48">
    <w:name w:val="ListLabel 48"/>
    <w:qFormat/>
    <w:rPr>
      <w:rFonts w:ascii="Bookman Old Style" w:hAnsi="Bookman Old Style" w:cs="Courier New"/>
      <w:b/>
      <w:sz w:val="24"/>
    </w:rPr>
  </w:style>
  <w:style w:type="character" w:styleId="ListLabel49">
    <w:name w:val="ListLabel 49"/>
    <w:qFormat/>
    <w:rPr>
      <w:rFonts w:cs="Courier New"/>
    </w:rPr>
  </w:style>
  <w:style w:type="character" w:styleId="ListLabel50">
    <w:name w:val="ListLabel 50"/>
    <w:qFormat/>
    <w:rPr>
      <w:rFonts w:cs="Wingdings"/>
    </w:rPr>
  </w:style>
  <w:style w:type="character" w:styleId="ListLabel51">
    <w:name w:val="ListLabel 51"/>
    <w:qFormat/>
    <w:rPr>
      <w:rFonts w:cs="Symbol"/>
    </w:rPr>
  </w:style>
  <w:style w:type="character" w:styleId="ListLabel52">
    <w:name w:val="ListLabel 52"/>
    <w:qFormat/>
    <w:rPr>
      <w:rFonts w:cs="Courier New"/>
    </w:rPr>
  </w:style>
  <w:style w:type="character" w:styleId="ListLabel53">
    <w:name w:val="ListLabel 53"/>
    <w:qFormat/>
    <w:rPr>
      <w:rFonts w:cs="Wingdings"/>
    </w:rPr>
  </w:style>
  <w:style w:type="character" w:styleId="ListLabel54">
    <w:name w:val="ListLabel 54"/>
    <w:qFormat/>
    <w:rPr>
      <w:rFonts w:cs="Symbol"/>
    </w:rPr>
  </w:style>
  <w:style w:type="character" w:styleId="ListLabel55">
    <w:name w:val="ListLabel 55"/>
    <w:qFormat/>
    <w:rPr>
      <w:rFonts w:cs="Courier New"/>
    </w:rPr>
  </w:style>
  <w:style w:type="character" w:styleId="ListLabel56">
    <w:name w:val="ListLabel 56"/>
    <w:qFormat/>
    <w:rPr>
      <w:rFonts w:cs="Wingdings"/>
    </w:rPr>
  </w:style>
  <w:style w:type="character" w:styleId="ListLabel57">
    <w:name w:val="ListLabel 57"/>
    <w:qFormat/>
    <w:rPr>
      <w:rFonts w:ascii="Bookman Old Style" w:hAnsi="Bookman Old Style" w:cs="Courier New"/>
      <w:sz w:val="24"/>
    </w:rPr>
  </w:style>
  <w:style w:type="character" w:styleId="ListLabel58">
    <w:name w:val="ListLabel 58"/>
    <w:qFormat/>
    <w:rPr>
      <w:rFonts w:cs="Courier New"/>
    </w:rPr>
  </w:style>
  <w:style w:type="character" w:styleId="ListLabel59">
    <w:name w:val="ListLabel 59"/>
    <w:qFormat/>
    <w:rPr>
      <w:rFonts w:cs="Wingdings"/>
    </w:rPr>
  </w:style>
  <w:style w:type="character" w:styleId="ListLabel60">
    <w:name w:val="ListLabel 60"/>
    <w:qFormat/>
    <w:rPr>
      <w:rFonts w:cs="Symbol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rFonts w:cs="Wingdings"/>
    </w:rPr>
  </w:style>
  <w:style w:type="character" w:styleId="ListLabel63">
    <w:name w:val="ListLabel 63"/>
    <w:qFormat/>
    <w:rPr>
      <w:rFonts w:cs="Symbol"/>
    </w:rPr>
  </w:style>
  <w:style w:type="character" w:styleId="ListLabel64">
    <w:name w:val="ListLabel 64"/>
    <w:qFormat/>
    <w:rPr>
      <w:rFonts w:cs="Courier New"/>
    </w:rPr>
  </w:style>
  <w:style w:type="character" w:styleId="ListLabel65">
    <w:name w:val="ListLabel 65"/>
    <w:qFormat/>
    <w:rPr>
      <w:rFonts w:cs="Wingdings"/>
    </w:rPr>
  </w:style>
  <w:style w:type="character" w:styleId="ListLabel66">
    <w:name w:val="ListLabel 66"/>
    <w:qFormat/>
    <w:rPr>
      <w:rFonts w:ascii="Bookman Old Style" w:hAnsi="Bookman Old Style" w:cs="Courier New"/>
      <w:b/>
      <w:sz w:val="24"/>
    </w:rPr>
  </w:style>
  <w:style w:type="character" w:styleId="ListLabel67">
    <w:name w:val="ListLabel 67"/>
    <w:qFormat/>
    <w:rPr>
      <w:rFonts w:cs="Courier New"/>
    </w:rPr>
  </w:style>
  <w:style w:type="character" w:styleId="ListLabel68">
    <w:name w:val="ListLabel 68"/>
    <w:qFormat/>
    <w:rPr>
      <w:rFonts w:cs="Wingdings"/>
    </w:rPr>
  </w:style>
  <w:style w:type="character" w:styleId="ListLabel69">
    <w:name w:val="ListLabel 69"/>
    <w:qFormat/>
    <w:rPr>
      <w:rFonts w:cs="Symbol"/>
    </w:rPr>
  </w:style>
  <w:style w:type="character" w:styleId="ListLabel70">
    <w:name w:val="ListLabel 70"/>
    <w:qFormat/>
    <w:rPr>
      <w:rFonts w:cs="Courier New"/>
    </w:rPr>
  </w:style>
  <w:style w:type="character" w:styleId="ListLabel71">
    <w:name w:val="ListLabel 71"/>
    <w:qFormat/>
    <w:rPr>
      <w:rFonts w:cs="Wingdings"/>
    </w:rPr>
  </w:style>
  <w:style w:type="character" w:styleId="ListLabel72">
    <w:name w:val="ListLabel 72"/>
    <w:qFormat/>
    <w:rPr>
      <w:rFonts w:cs="Symbol"/>
    </w:rPr>
  </w:style>
  <w:style w:type="character" w:styleId="ListLabel73">
    <w:name w:val="ListLabel 73"/>
    <w:qFormat/>
    <w:rPr>
      <w:rFonts w:cs="Courier New"/>
    </w:rPr>
  </w:style>
  <w:style w:type="character" w:styleId="ListLabel74">
    <w:name w:val="ListLabel 74"/>
    <w:qFormat/>
    <w:rPr>
      <w:rFonts w:cs="Wingdings"/>
    </w:rPr>
  </w:style>
  <w:style w:type="character" w:styleId="ListLabel75">
    <w:name w:val="ListLabel 75"/>
    <w:qFormat/>
    <w:rPr>
      <w:rFonts w:ascii="Bookman Old Style" w:hAnsi="Bookman Old Style" w:cs="Courier New"/>
      <w:sz w:val="24"/>
    </w:rPr>
  </w:style>
  <w:style w:type="character" w:styleId="ListLabel76">
    <w:name w:val="ListLabel 76"/>
    <w:qFormat/>
    <w:rPr>
      <w:rFonts w:cs="Courier New"/>
    </w:rPr>
  </w:style>
  <w:style w:type="character" w:styleId="ListLabel77">
    <w:name w:val="ListLabel 77"/>
    <w:qFormat/>
    <w:rPr>
      <w:rFonts w:cs="Wingdings"/>
    </w:rPr>
  </w:style>
  <w:style w:type="character" w:styleId="ListLabel78">
    <w:name w:val="ListLabel 78"/>
    <w:qFormat/>
    <w:rPr>
      <w:rFonts w:cs="Symbol"/>
    </w:rPr>
  </w:style>
  <w:style w:type="character" w:styleId="ListLabel79">
    <w:name w:val="ListLabel 79"/>
    <w:qFormat/>
    <w:rPr>
      <w:rFonts w:cs="Courier New"/>
    </w:rPr>
  </w:style>
  <w:style w:type="character" w:styleId="ListLabel80">
    <w:name w:val="ListLabel 80"/>
    <w:qFormat/>
    <w:rPr>
      <w:rFonts w:cs="Wingdings"/>
    </w:rPr>
  </w:style>
  <w:style w:type="character" w:styleId="ListLabel81">
    <w:name w:val="ListLabel 81"/>
    <w:qFormat/>
    <w:rPr>
      <w:rFonts w:cs="Symbol"/>
    </w:rPr>
  </w:style>
  <w:style w:type="character" w:styleId="ListLabel82">
    <w:name w:val="ListLabel 82"/>
    <w:qFormat/>
    <w:rPr>
      <w:rFonts w:cs="Courier New"/>
    </w:rPr>
  </w:style>
  <w:style w:type="character" w:styleId="ListLabel83">
    <w:name w:val="ListLabel 83"/>
    <w:qFormat/>
    <w:rPr>
      <w:rFonts w:cs="Wingdings"/>
    </w:rPr>
  </w:style>
  <w:style w:type="character" w:styleId="ListLabel84">
    <w:name w:val="ListLabel 84"/>
    <w:qFormat/>
    <w:rPr>
      <w:rFonts w:ascii="Bookman Old Style" w:hAnsi="Bookman Old Style" w:cs="Courier New"/>
      <w:b/>
      <w:sz w:val="24"/>
    </w:rPr>
  </w:style>
  <w:style w:type="character" w:styleId="ListLabel85">
    <w:name w:val="ListLabel 85"/>
    <w:qFormat/>
    <w:rPr>
      <w:rFonts w:cs="Courier New"/>
    </w:rPr>
  </w:style>
  <w:style w:type="character" w:styleId="ListLabel86">
    <w:name w:val="ListLabel 86"/>
    <w:qFormat/>
    <w:rPr>
      <w:rFonts w:cs="Wingdings"/>
    </w:rPr>
  </w:style>
  <w:style w:type="character" w:styleId="ListLabel87">
    <w:name w:val="ListLabel 87"/>
    <w:qFormat/>
    <w:rPr>
      <w:rFonts w:cs="Symbol"/>
    </w:rPr>
  </w:style>
  <w:style w:type="character" w:styleId="ListLabel88">
    <w:name w:val="ListLabel 88"/>
    <w:qFormat/>
    <w:rPr>
      <w:rFonts w:cs="Courier New"/>
    </w:rPr>
  </w:style>
  <w:style w:type="character" w:styleId="ListLabel89">
    <w:name w:val="ListLabel 89"/>
    <w:qFormat/>
    <w:rPr>
      <w:rFonts w:cs="Wingdings"/>
    </w:rPr>
  </w:style>
  <w:style w:type="character" w:styleId="ListLabel90">
    <w:name w:val="ListLabel 90"/>
    <w:qFormat/>
    <w:rPr>
      <w:rFonts w:cs="Symbol"/>
    </w:rPr>
  </w:style>
  <w:style w:type="character" w:styleId="ListLabel91">
    <w:name w:val="ListLabel 91"/>
    <w:qFormat/>
    <w:rPr>
      <w:rFonts w:cs="Courier New"/>
    </w:rPr>
  </w:style>
  <w:style w:type="character" w:styleId="ListLabel92">
    <w:name w:val="ListLabel 92"/>
    <w:qFormat/>
    <w:rPr>
      <w:rFonts w:cs="Wingdings"/>
    </w:rPr>
  </w:style>
  <w:style w:type="character" w:styleId="ListLabel93">
    <w:name w:val="ListLabel 93"/>
    <w:qFormat/>
    <w:rPr>
      <w:rFonts w:ascii="Bookman Old Style" w:hAnsi="Bookman Old Style" w:cs="Courier New"/>
      <w:sz w:val="24"/>
    </w:rPr>
  </w:style>
  <w:style w:type="character" w:styleId="ListLabel94">
    <w:name w:val="ListLabel 94"/>
    <w:qFormat/>
    <w:rPr>
      <w:rFonts w:cs="Courier New"/>
    </w:rPr>
  </w:style>
  <w:style w:type="character" w:styleId="ListLabel95">
    <w:name w:val="ListLabel 95"/>
    <w:qFormat/>
    <w:rPr>
      <w:rFonts w:cs="Wingdings"/>
    </w:rPr>
  </w:style>
  <w:style w:type="character" w:styleId="ListLabel96">
    <w:name w:val="ListLabel 96"/>
    <w:qFormat/>
    <w:rPr>
      <w:rFonts w:cs="Symbol"/>
    </w:rPr>
  </w:style>
  <w:style w:type="character" w:styleId="ListLabel97">
    <w:name w:val="ListLabel 97"/>
    <w:qFormat/>
    <w:rPr>
      <w:rFonts w:cs="Courier New"/>
    </w:rPr>
  </w:style>
  <w:style w:type="character" w:styleId="ListLabel98">
    <w:name w:val="ListLabel 98"/>
    <w:qFormat/>
    <w:rPr>
      <w:rFonts w:cs="Wingdings"/>
    </w:rPr>
  </w:style>
  <w:style w:type="character" w:styleId="ListLabel99">
    <w:name w:val="ListLabel 99"/>
    <w:qFormat/>
    <w:rPr>
      <w:rFonts w:cs="Symbol"/>
    </w:rPr>
  </w:style>
  <w:style w:type="character" w:styleId="ListLabel100">
    <w:name w:val="ListLabel 100"/>
    <w:qFormat/>
    <w:rPr>
      <w:rFonts w:cs="Courier New"/>
    </w:rPr>
  </w:style>
  <w:style w:type="character" w:styleId="ListLabel101">
    <w:name w:val="ListLabel 101"/>
    <w:qFormat/>
    <w:rPr>
      <w:rFonts w:cs="Wingdings"/>
    </w:rPr>
  </w:style>
  <w:style w:type="character" w:styleId="ListLabel102">
    <w:name w:val="ListLabel 102"/>
    <w:qFormat/>
    <w:rPr>
      <w:rFonts w:ascii="Bookman Old Style" w:hAnsi="Bookman Old Style" w:cs="Courier New"/>
      <w:b/>
      <w:sz w:val="24"/>
    </w:rPr>
  </w:style>
  <w:style w:type="character" w:styleId="ListLabel103">
    <w:name w:val="ListLabel 103"/>
    <w:qFormat/>
    <w:rPr>
      <w:rFonts w:cs="Courier New"/>
    </w:rPr>
  </w:style>
  <w:style w:type="character" w:styleId="ListLabel104">
    <w:name w:val="ListLabel 104"/>
    <w:qFormat/>
    <w:rPr>
      <w:rFonts w:cs="Wingdings"/>
    </w:rPr>
  </w:style>
  <w:style w:type="character" w:styleId="ListLabel105">
    <w:name w:val="ListLabel 105"/>
    <w:qFormat/>
    <w:rPr>
      <w:rFonts w:cs="Symbol"/>
    </w:rPr>
  </w:style>
  <w:style w:type="character" w:styleId="ListLabel106">
    <w:name w:val="ListLabel 106"/>
    <w:qFormat/>
    <w:rPr>
      <w:rFonts w:cs="Courier New"/>
    </w:rPr>
  </w:style>
  <w:style w:type="character" w:styleId="ListLabel107">
    <w:name w:val="ListLabel 107"/>
    <w:qFormat/>
    <w:rPr>
      <w:rFonts w:cs="Wingdings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cs="Courier New"/>
    </w:rPr>
  </w:style>
  <w:style w:type="character" w:styleId="ListLabel110">
    <w:name w:val="ListLabel 110"/>
    <w:qFormat/>
    <w:rPr>
      <w:rFonts w:cs="Wingdings"/>
    </w:rPr>
  </w:style>
  <w:style w:type="character" w:styleId="ListLabel111">
    <w:name w:val="ListLabel 111"/>
    <w:qFormat/>
    <w:rPr>
      <w:rFonts w:ascii="Bookman Old Style" w:hAnsi="Bookman Old Style" w:cs="Courier New"/>
      <w:sz w:val="24"/>
    </w:rPr>
  </w:style>
  <w:style w:type="character" w:styleId="ListLabel112">
    <w:name w:val="ListLabel 112"/>
    <w:qFormat/>
    <w:rPr>
      <w:rFonts w:cs="Courier New"/>
    </w:rPr>
  </w:style>
  <w:style w:type="character" w:styleId="ListLabel113">
    <w:name w:val="ListLabel 113"/>
    <w:qFormat/>
    <w:rPr>
      <w:rFonts w:cs="Wingdings"/>
    </w:rPr>
  </w:style>
  <w:style w:type="character" w:styleId="ListLabel114">
    <w:name w:val="ListLabel 114"/>
    <w:qFormat/>
    <w:rPr>
      <w:rFonts w:cs="Symbol"/>
    </w:rPr>
  </w:style>
  <w:style w:type="character" w:styleId="ListLabel115">
    <w:name w:val="ListLabel 115"/>
    <w:qFormat/>
    <w:rPr>
      <w:rFonts w:cs="Courier New"/>
    </w:rPr>
  </w:style>
  <w:style w:type="character" w:styleId="ListLabel116">
    <w:name w:val="ListLabel 116"/>
    <w:qFormat/>
    <w:rPr>
      <w:rFonts w:cs="Wingdings"/>
    </w:rPr>
  </w:style>
  <w:style w:type="character" w:styleId="ListLabel117">
    <w:name w:val="ListLabel 117"/>
    <w:qFormat/>
    <w:rPr>
      <w:rFonts w:cs="Symbol"/>
    </w:rPr>
  </w:style>
  <w:style w:type="character" w:styleId="ListLabel118">
    <w:name w:val="ListLabel 118"/>
    <w:qFormat/>
    <w:rPr>
      <w:rFonts w:cs="Courier New"/>
    </w:rPr>
  </w:style>
  <w:style w:type="character" w:styleId="ListLabel119">
    <w:name w:val="ListLabel 119"/>
    <w:qFormat/>
    <w:rPr>
      <w:rFonts w:cs="Wingdings"/>
    </w:rPr>
  </w:style>
  <w:style w:type="character" w:styleId="ListLabel120">
    <w:name w:val="ListLabel 120"/>
    <w:qFormat/>
    <w:rPr>
      <w:rFonts w:ascii="Bookman Old Style" w:hAnsi="Bookman Old Style" w:cs="Courier New"/>
      <w:b/>
      <w:sz w:val="24"/>
    </w:rPr>
  </w:style>
  <w:style w:type="character" w:styleId="ListLabel121">
    <w:name w:val="ListLabel 121"/>
    <w:qFormat/>
    <w:rPr>
      <w:rFonts w:cs="Courier New"/>
    </w:rPr>
  </w:style>
  <w:style w:type="character" w:styleId="ListLabel122">
    <w:name w:val="ListLabel 122"/>
    <w:qFormat/>
    <w:rPr>
      <w:rFonts w:cs="Wingdings"/>
    </w:rPr>
  </w:style>
  <w:style w:type="character" w:styleId="ListLabel123">
    <w:name w:val="ListLabel 123"/>
    <w:qFormat/>
    <w:rPr>
      <w:rFonts w:cs="Symbol"/>
    </w:rPr>
  </w:style>
  <w:style w:type="character" w:styleId="ListLabel124">
    <w:name w:val="ListLabel 124"/>
    <w:qFormat/>
    <w:rPr>
      <w:rFonts w:cs="Courier New"/>
    </w:rPr>
  </w:style>
  <w:style w:type="character" w:styleId="ListLabel125">
    <w:name w:val="ListLabel 125"/>
    <w:qFormat/>
    <w:rPr>
      <w:rFonts w:cs="Wingdings"/>
    </w:rPr>
  </w:style>
  <w:style w:type="character" w:styleId="ListLabel126">
    <w:name w:val="ListLabel 126"/>
    <w:qFormat/>
    <w:rPr>
      <w:rFonts w:cs="Symbol"/>
    </w:rPr>
  </w:style>
  <w:style w:type="character" w:styleId="ListLabel127">
    <w:name w:val="ListLabel 127"/>
    <w:qFormat/>
    <w:rPr>
      <w:rFonts w:cs="Courier New"/>
    </w:rPr>
  </w:style>
  <w:style w:type="character" w:styleId="ListLabel128">
    <w:name w:val="ListLabel 128"/>
    <w:qFormat/>
    <w:rPr>
      <w:rFonts w:cs="Wingdings"/>
    </w:rPr>
  </w:style>
  <w:style w:type="character" w:styleId="ListLabel129">
    <w:name w:val="ListLabel 129"/>
    <w:qFormat/>
    <w:rPr>
      <w:rFonts w:ascii="Bookman Old Style" w:hAnsi="Bookman Old Style" w:cs="Courier New"/>
      <w:sz w:val="24"/>
    </w:rPr>
  </w:style>
  <w:style w:type="character" w:styleId="ListLabel130">
    <w:name w:val="ListLabel 130"/>
    <w:qFormat/>
    <w:rPr>
      <w:rFonts w:cs="Courier New"/>
    </w:rPr>
  </w:style>
  <w:style w:type="character" w:styleId="ListLabel131">
    <w:name w:val="ListLabel 131"/>
    <w:qFormat/>
    <w:rPr>
      <w:rFonts w:cs="Wingdings"/>
    </w:rPr>
  </w:style>
  <w:style w:type="character" w:styleId="ListLabel132">
    <w:name w:val="ListLabel 132"/>
    <w:qFormat/>
    <w:rPr>
      <w:rFonts w:cs="Symbol"/>
    </w:rPr>
  </w:style>
  <w:style w:type="character" w:styleId="ListLabel133">
    <w:name w:val="ListLabel 133"/>
    <w:qFormat/>
    <w:rPr>
      <w:rFonts w:cs="Courier New"/>
    </w:rPr>
  </w:style>
  <w:style w:type="character" w:styleId="ListLabel134">
    <w:name w:val="ListLabel 134"/>
    <w:qFormat/>
    <w:rPr>
      <w:rFonts w:cs="Wingdings"/>
    </w:rPr>
  </w:style>
  <w:style w:type="character" w:styleId="ListLabel135">
    <w:name w:val="ListLabel 135"/>
    <w:qFormat/>
    <w:rPr>
      <w:rFonts w:cs="Symbol"/>
    </w:rPr>
  </w:style>
  <w:style w:type="character" w:styleId="ListLabel136">
    <w:name w:val="ListLabel 136"/>
    <w:qFormat/>
    <w:rPr>
      <w:rFonts w:cs="Courier New"/>
    </w:rPr>
  </w:style>
  <w:style w:type="character" w:styleId="ListLabel137">
    <w:name w:val="ListLabel 137"/>
    <w:qFormat/>
    <w:rPr>
      <w:rFonts w:cs="Wingdings"/>
    </w:rPr>
  </w:style>
  <w:style w:type="character" w:styleId="ListLabel138">
    <w:name w:val="ListLabel 138"/>
    <w:qFormat/>
    <w:rPr>
      <w:rFonts w:ascii="Bookman Old Style" w:hAnsi="Bookman Old Style" w:cs="Courier New"/>
      <w:b/>
      <w:sz w:val="24"/>
    </w:rPr>
  </w:style>
  <w:style w:type="character" w:styleId="ListLabel139">
    <w:name w:val="ListLabel 139"/>
    <w:qFormat/>
    <w:rPr>
      <w:rFonts w:cs="Courier New"/>
    </w:rPr>
  </w:style>
  <w:style w:type="character" w:styleId="ListLabel140">
    <w:name w:val="ListLabel 140"/>
    <w:qFormat/>
    <w:rPr>
      <w:rFonts w:cs="Wingdings"/>
    </w:rPr>
  </w:style>
  <w:style w:type="character" w:styleId="ListLabel141">
    <w:name w:val="ListLabel 141"/>
    <w:qFormat/>
    <w:rPr>
      <w:rFonts w:cs="Symbol"/>
    </w:rPr>
  </w:style>
  <w:style w:type="character" w:styleId="ListLabel142">
    <w:name w:val="ListLabel 142"/>
    <w:qFormat/>
    <w:rPr>
      <w:rFonts w:cs="Courier New"/>
    </w:rPr>
  </w:style>
  <w:style w:type="character" w:styleId="ListLabel143">
    <w:name w:val="ListLabel 143"/>
    <w:qFormat/>
    <w:rPr>
      <w:rFonts w:cs="Wingdings"/>
    </w:rPr>
  </w:style>
  <w:style w:type="character" w:styleId="ListLabel144">
    <w:name w:val="ListLabel 144"/>
    <w:qFormat/>
    <w:rPr>
      <w:rFonts w:cs="Symbol"/>
    </w:rPr>
  </w:style>
  <w:style w:type="character" w:styleId="ListLabel145">
    <w:name w:val="ListLabel 145"/>
    <w:qFormat/>
    <w:rPr>
      <w:rFonts w:cs="Courier New"/>
    </w:rPr>
  </w:style>
  <w:style w:type="character" w:styleId="ListLabel146">
    <w:name w:val="ListLabel 146"/>
    <w:qFormat/>
    <w:rPr>
      <w:rFonts w:cs="Wingdings"/>
    </w:rPr>
  </w:style>
  <w:style w:type="character" w:styleId="ListLabel147">
    <w:name w:val="ListLabel 147"/>
    <w:qFormat/>
    <w:rPr>
      <w:rFonts w:ascii="Bookman Old Style" w:hAnsi="Bookman Old Style" w:cs="Courier New"/>
      <w:sz w:val="24"/>
    </w:rPr>
  </w:style>
  <w:style w:type="character" w:styleId="ListLabel148">
    <w:name w:val="ListLabel 148"/>
    <w:qFormat/>
    <w:rPr>
      <w:rFonts w:cs="Courier New"/>
    </w:rPr>
  </w:style>
  <w:style w:type="character" w:styleId="ListLabel149">
    <w:name w:val="ListLabel 149"/>
    <w:qFormat/>
    <w:rPr>
      <w:rFonts w:cs="Wingdings"/>
    </w:rPr>
  </w:style>
  <w:style w:type="character" w:styleId="ListLabel150">
    <w:name w:val="ListLabel 150"/>
    <w:qFormat/>
    <w:rPr>
      <w:rFonts w:cs="Symbol"/>
    </w:rPr>
  </w:style>
  <w:style w:type="character" w:styleId="ListLabel151">
    <w:name w:val="ListLabel 151"/>
    <w:qFormat/>
    <w:rPr>
      <w:rFonts w:cs="Courier New"/>
    </w:rPr>
  </w:style>
  <w:style w:type="character" w:styleId="ListLabel152">
    <w:name w:val="ListLabel 152"/>
    <w:qFormat/>
    <w:rPr>
      <w:rFonts w:cs="Wingdings"/>
    </w:rPr>
  </w:style>
  <w:style w:type="character" w:styleId="ListLabel153">
    <w:name w:val="ListLabel 153"/>
    <w:qFormat/>
    <w:rPr>
      <w:rFonts w:cs="Symbol"/>
    </w:rPr>
  </w:style>
  <w:style w:type="character" w:styleId="ListLabel154">
    <w:name w:val="ListLabel 154"/>
    <w:qFormat/>
    <w:rPr>
      <w:rFonts w:cs="Courier New"/>
    </w:rPr>
  </w:style>
  <w:style w:type="character" w:styleId="ListLabel155">
    <w:name w:val="ListLabel 155"/>
    <w:qFormat/>
    <w:rPr>
      <w:rFonts w:cs="Wingdings"/>
    </w:rPr>
  </w:style>
  <w:style w:type="character" w:styleId="ListLabel156">
    <w:name w:val="ListLabel 156"/>
    <w:qFormat/>
    <w:rPr>
      <w:rFonts w:ascii="Bookman Old Style" w:hAnsi="Bookman Old Style" w:cs="Courier New"/>
      <w:b/>
      <w:sz w:val="24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Wingdings"/>
    </w:rPr>
  </w:style>
  <w:style w:type="character" w:styleId="ListLabel159">
    <w:name w:val="ListLabel 159"/>
    <w:qFormat/>
    <w:rPr>
      <w:rFonts w:cs="Symbol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Wingdings"/>
    </w:rPr>
  </w:style>
  <w:style w:type="character" w:styleId="ListLabel162">
    <w:name w:val="ListLabel 162"/>
    <w:qFormat/>
    <w:rPr>
      <w:rFonts w:cs="Symbol"/>
    </w:rPr>
  </w:style>
  <w:style w:type="character" w:styleId="ListLabel163">
    <w:name w:val="ListLabel 163"/>
    <w:qFormat/>
    <w:rPr>
      <w:rFonts w:cs="Courier New"/>
    </w:rPr>
  </w:style>
  <w:style w:type="character" w:styleId="ListLabel164">
    <w:name w:val="ListLabel 164"/>
    <w:qFormat/>
    <w:rPr>
      <w:rFonts w:cs="Wingdings"/>
    </w:rPr>
  </w:style>
  <w:style w:type="character" w:styleId="ListLabel165">
    <w:name w:val="ListLabel 165"/>
    <w:qFormat/>
    <w:rPr>
      <w:rFonts w:ascii="Bookman Old Style" w:hAnsi="Bookman Old Style" w:cs="Courier New"/>
      <w:sz w:val="24"/>
    </w:rPr>
  </w:style>
  <w:style w:type="character" w:styleId="ListLabel166">
    <w:name w:val="ListLabel 166"/>
    <w:qFormat/>
    <w:rPr>
      <w:rFonts w:cs="Courier New"/>
    </w:rPr>
  </w:style>
  <w:style w:type="character" w:styleId="ListLabel167">
    <w:name w:val="ListLabel 167"/>
    <w:qFormat/>
    <w:rPr>
      <w:rFonts w:cs="Wingdings"/>
    </w:rPr>
  </w:style>
  <w:style w:type="character" w:styleId="ListLabel168">
    <w:name w:val="ListLabel 168"/>
    <w:qFormat/>
    <w:rPr>
      <w:rFonts w:cs="Symbol"/>
    </w:rPr>
  </w:style>
  <w:style w:type="character" w:styleId="ListLabel169">
    <w:name w:val="ListLabel 169"/>
    <w:qFormat/>
    <w:rPr>
      <w:rFonts w:cs="Courier New"/>
    </w:rPr>
  </w:style>
  <w:style w:type="character" w:styleId="ListLabel170">
    <w:name w:val="ListLabel 170"/>
    <w:qFormat/>
    <w:rPr>
      <w:rFonts w:cs="Wingdings"/>
    </w:rPr>
  </w:style>
  <w:style w:type="character" w:styleId="ListLabel171">
    <w:name w:val="ListLabel 171"/>
    <w:qFormat/>
    <w:rPr>
      <w:rFonts w:cs="Symbol"/>
    </w:rPr>
  </w:style>
  <w:style w:type="character" w:styleId="ListLabel172">
    <w:name w:val="ListLabel 172"/>
    <w:qFormat/>
    <w:rPr>
      <w:rFonts w:cs="Courier New"/>
    </w:rPr>
  </w:style>
  <w:style w:type="character" w:styleId="ListLabel173">
    <w:name w:val="ListLabel 173"/>
    <w:qFormat/>
    <w:rPr>
      <w:rFonts w:cs="Wingdings"/>
    </w:rPr>
  </w:style>
  <w:style w:type="character" w:styleId="ListLabel174">
    <w:name w:val="ListLabel 174"/>
    <w:qFormat/>
    <w:rPr>
      <w:rFonts w:ascii="Bookman Old Style" w:hAnsi="Bookman Old Style" w:cs="Courier New"/>
      <w:b/>
      <w:sz w:val="24"/>
    </w:rPr>
  </w:style>
  <w:style w:type="character" w:styleId="ListLabel175">
    <w:name w:val="ListLabel 175"/>
    <w:qFormat/>
    <w:rPr>
      <w:rFonts w:cs="Courier New"/>
    </w:rPr>
  </w:style>
  <w:style w:type="character" w:styleId="ListLabel176">
    <w:name w:val="ListLabel 176"/>
    <w:qFormat/>
    <w:rPr>
      <w:rFonts w:cs="Wingdings"/>
    </w:rPr>
  </w:style>
  <w:style w:type="character" w:styleId="ListLabel177">
    <w:name w:val="ListLabel 177"/>
    <w:qFormat/>
    <w:rPr>
      <w:rFonts w:cs="Symbol"/>
    </w:rPr>
  </w:style>
  <w:style w:type="character" w:styleId="ListLabel178">
    <w:name w:val="ListLabel 178"/>
    <w:qFormat/>
    <w:rPr>
      <w:rFonts w:cs="Courier New"/>
    </w:rPr>
  </w:style>
  <w:style w:type="character" w:styleId="ListLabel179">
    <w:name w:val="ListLabel 179"/>
    <w:qFormat/>
    <w:rPr>
      <w:rFonts w:cs="Wingdings"/>
    </w:rPr>
  </w:style>
  <w:style w:type="character" w:styleId="ListLabel180">
    <w:name w:val="ListLabel 180"/>
    <w:qFormat/>
    <w:rPr>
      <w:rFonts w:cs="Symbol"/>
    </w:rPr>
  </w:style>
  <w:style w:type="character" w:styleId="ListLabel181">
    <w:name w:val="ListLabel 181"/>
    <w:qFormat/>
    <w:rPr>
      <w:rFonts w:cs="Courier New"/>
    </w:rPr>
  </w:style>
  <w:style w:type="character" w:styleId="ListLabel182">
    <w:name w:val="ListLabel 182"/>
    <w:qFormat/>
    <w:rPr>
      <w:rFonts w:cs="Wingdings"/>
    </w:rPr>
  </w:style>
  <w:style w:type="character" w:styleId="ListLabel183">
    <w:name w:val="ListLabel 183"/>
    <w:qFormat/>
    <w:rPr>
      <w:rFonts w:ascii="Bookman Old Style" w:hAnsi="Bookman Old Style" w:cs="Courier New"/>
      <w:sz w:val="24"/>
    </w:rPr>
  </w:style>
  <w:style w:type="character" w:styleId="ListLabel184">
    <w:name w:val="ListLabel 184"/>
    <w:qFormat/>
    <w:rPr>
      <w:rFonts w:cs="Courier New"/>
    </w:rPr>
  </w:style>
  <w:style w:type="character" w:styleId="ListLabel185">
    <w:name w:val="ListLabel 185"/>
    <w:qFormat/>
    <w:rPr>
      <w:rFonts w:cs="Wingdings"/>
    </w:rPr>
  </w:style>
  <w:style w:type="character" w:styleId="ListLabel186">
    <w:name w:val="ListLabel 186"/>
    <w:qFormat/>
    <w:rPr>
      <w:rFonts w:cs="Symbol"/>
    </w:rPr>
  </w:style>
  <w:style w:type="character" w:styleId="ListLabel187">
    <w:name w:val="ListLabel 187"/>
    <w:qFormat/>
    <w:rPr>
      <w:rFonts w:cs="Courier New"/>
    </w:rPr>
  </w:style>
  <w:style w:type="character" w:styleId="ListLabel188">
    <w:name w:val="ListLabel 188"/>
    <w:qFormat/>
    <w:rPr>
      <w:rFonts w:cs="Wingdings"/>
    </w:rPr>
  </w:style>
  <w:style w:type="character" w:styleId="ListLabel189">
    <w:name w:val="ListLabel 189"/>
    <w:qFormat/>
    <w:rPr>
      <w:rFonts w:cs="Symbol"/>
    </w:rPr>
  </w:style>
  <w:style w:type="character" w:styleId="ListLabel190">
    <w:name w:val="ListLabel 190"/>
    <w:qFormat/>
    <w:rPr>
      <w:rFonts w:cs="Courier New"/>
    </w:rPr>
  </w:style>
  <w:style w:type="character" w:styleId="ListLabel191">
    <w:name w:val="ListLabel 191"/>
    <w:qFormat/>
    <w:rPr>
      <w:rFonts w:cs="Wingdings"/>
    </w:rPr>
  </w:style>
  <w:style w:type="character" w:styleId="ListLabel192">
    <w:name w:val="ListLabel 192"/>
    <w:qFormat/>
    <w:rPr>
      <w:rFonts w:ascii="Bookman Old Style" w:hAnsi="Bookman Old Style" w:cs="Courier New"/>
      <w:b/>
      <w:sz w:val="24"/>
    </w:rPr>
  </w:style>
  <w:style w:type="character" w:styleId="ListLabel193">
    <w:name w:val="ListLabel 193"/>
    <w:qFormat/>
    <w:rPr>
      <w:rFonts w:cs="Courier New"/>
    </w:rPr>
  </w:style>
  <w:style w:type="character" w:styleId="ListLabel194">
    <w:name w:val="ListLabel 194"/>
    <w:qFormat/>
    <w:rPr>
      <w:rFonts w:cs="Wingdings"/>
    </w:rPr>
  </w:style>
  <w:style w:type="character" w:styleId="ListLabel195">
    <w:name w:val="ListLabel 195"/>
    <w:qFormat/>
    <w:rPr>
      <w:rFonts w:cs="Symbol"/>
    </w:rPr>
  </w:style>
  <w:style w:type="character" w:styleId="ListLabel196">
    <w:name w:val="ListLabel 196"/>
    <w:qFormat/>
    <w:rPr>
      <w:rFonts w:cs="Courier New"/>
    </w:rPr>
  </w:style>
  <w:style w:type="character" w:styleId="ListLabel197">
    <w:name w:val="ListLabel 197"/>
    <w:qFormat/>
    <w:rPr>
      <w:rFonts w:cs="Wingdings"/>
    </w:rPr>
  </w:style>
  <w:style w:type="character" w:styleId="ListLabel198">
    <w:name w:val="ListLabel 198"/>
    <w:qFormat/>
    <w:rPr>
      <w:rFonts w:cs="Symbol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ascii="Bookman Old Style" w:hAnsi="Bookman Old Style" w:cs="Courier New"/>
      <w:sz w:val="24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ascii="Bookman Old Style" w:hAnsi="Bookman Old Style" w:cs="Courier New"/>
      <w:b/>
      <w:sz w:val="24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ascii="Bookman Old Style" w:hAnsi="Bookman Old Style" w:cs="Courier New"/>
      <w:sz w:val="24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ascii="Bookman Old Style" w:hAnsi="Bookman Old Style" w:cs="Courier New"/>
      <w:b/>
      <w:sz w:val="24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ascii="Bookman Old Style" w:hAnsi="Bookman Old Style" w:cs="Courier New"/>
      <w:sz w:val="24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character" w:styleId="ListLabel246">
    <w:name w:val="ListLabel 246"/>
    <w:qFormat/>
    <w:rPr>
      <w:rFonts w:ascii="Bookman Old Style" w:hAnsi="Bookman Old Style" w:cs="Courier New"/>
      <w:b/>
      <w:sz w:val="24"/>
    </w:rPr>
  </w:style>
  <w:style w:type="character" w:styleId="ListLabel247">
    <w:name w:val="ListLabel 247"/>
    <w:qFormat/>
    <w:rPr>
      <w:rFonts w:cs="Courier New"/>
    </w:rPr>
  </w:style>
  <w:style w:type="character" w:styleId="ListLabel248">
    <w:name w:val="ListLabel 248"/>
    <w:qFormat/>
    <w:rPr>
      <w:rFonts w:cs="Wingdings"/>
    </w:rPr>
  </w:style>
  <w:style w:type="character" w:styleId="ListLabel249">
    <w:name w:val="ListLabel 249"/>
    <w:qFormat/>
    <w:rPr>
      <w:rFonts w:cs="Symbol"/>
    </w:rPr>
  </w:style>
  <w:style w:type="character" w:styleId="ListLabel250">
    <w:name w:val="ListLabel 250"/>
    <w:qFormat/>
    <w:rPr>
      <w:rFonts w:cs="Courier New"/>
    </w:rPr>
  </w:style>
  <w:style w:type="character" w:styleId="ListLabel251">
    <w:name w:val="ListLabel 251"/>
    <w:qFormat/>
    <w:rPr>
      <w:rFonts w:cs="Wingdings"/>
    </w:rPr>
  </w:style>
  <w:style w:type="character" w:styleId="ListLabel252">
    <w:name w:val="ListLabel 252"/>
    <w:qFormat/>
    <w:rPr>
      <w:rFonts w:cs="Symbol"/>
    </w:rPr>
  </w:style>
  <w:style w:type="character" w:styleId="ListLabel253">
    <w:name w:val="ListLabel 253"/>
    <w:qFormat/>
    <w:rPr>
      <w:rFonts w:cs="Courier New"/>
    </w:rPr>
  </w:style>
  <w:style w:type="character" w:styleId="ListLabel254">
    <w:name w:val="ListLabel 254"/>
    <w:qFormat/>
    <w:rPr>
      <w:rFonts w:cs="Wingdings"/>
    </w:rPr>
  </w:style>
  <w:style w:type="character" w:styleId="ListLabel255">
    <w:name w:val="ListLabel 255"/>
    <w:qFormat/>
    <w:rPr>
      <w:rFonts w:ascii="Bookman Old Style" w:hAnsi="Bookman Old Style" w:cs="Courier New"/>
      <w:sz w:val="24"/>
    </w:rPr>
  </w:style>
  <w:style w:type="character" w:styleId="ListLabel256">
    <w:name w:val="ListLabel 256"/>
    <w:qFormat/>
    <w:rPr>
      <w:rFonts w:cs="Courier New"/>
    </w:rPr>
  </w:style>
  <w:style w:type="character" w:styleId="ListLabel257">
    <w:name w:val="ListLabel 257"/>
    <w:qFormat/>
    <w:rPr>
      <w:rFonts w:cs="Wingdings"/>
    </w:rPr>
  </w:style>
  <w:style w:type="character" w:styleId="ListLabel258">
    <w:name w:val="ListLabel 258"/>
    <w:qFormat/>
    <w:rPr>
      <w:rFonts w:cs="Symbol"/>
    </w:rPr>
  </w:style>
  <w:style w:type="character" w:styleId="ListLabel259">
    <w:name w:val="ListLabel 259"/>
    <w:qFormat/>
    <w:rPr>
      <w:rFonts w:cs="Courier New"/>
    </w:rPr>
  </w:style>
  <w:style w:type="character" w:styleId="ListLabel260">
    <w:name w:val="ListLabel 260"/>
    <w:qFormat/>
    <w:rPr>
      <w:rFonts w:cs="Wingdings"/>
    </w:rPr>
  </w:style>
  <w:style w:type="character" w:styleId="ListLabel261">
    <w:name w:val="ListLabel 261"/>
    <w:qFormat/>
    <w:rPr>
      <w:rFonts w:cs="Symbol"/>
    </w:rPr>
  </w:style>
  <w:style w:type="character" w:styleId="ListLabel262">
    <w:name w:val="ListLabel 262"/>
    <w:qFormat/>
    <w:rPr>
      <w:rFonts w:cs="Courier New"/>
    </w:rPr>
  </w:style>
  <w:style w:type="character" w:styleId="ListLabel263">
    <w:name w:val="ListLabel 263"/>
    <w:qFormat/>
    <w:rPr>
      <w:rFonts w:cs="Wingdings"/>
    </w:rPr>
  </w:style>
  <w:style w:type="paragraph" w:styleId="Style17">
    <w:name w:val="Заголовок"/>
    <w:basedOn w:val="Normal"/>
    <w:next w:val="Style18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Style22">
    <w:name w:val="Header"/>
    <w:basedOn w:val="Normal"/>
    <w:link w:val="a5"/>
    <w:uiPriority w:val="99"/>
    <w:rsid w:val="004f3d9a"/>
    <w:pPr>
      <w:tabs>
        <w:tab w:val="center" w:pos="4677" w:leader="none"/>
        <w:tab w:val="right" w:pos="9355" w:leader="none"/>
      </w:tabs>
    </w:pPr>
    <w:rPr/>
  </w:style>
  <w:style w:type="paragraph" w:styleId="Style23">
    <w:name w:val="Footer"/>
    <w:basedOn w:val="Normal"/>
    <w:link w:val="a7"/>
    <w:uiPriority w:val="99"/>
    <w:rsid w:val="004f3d9a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a"/>
    <w:uiPriority w:val="99"/>
    <w:semiHidden/>
    <w:qFormat/>
    <w:rsid w:val="00df566a"/>
    <w:pPr/>
    <w:rPr>
      <w:rFonts w:ascii="Tahoma" w:hAnsi="Tahoma" w:cs="Tahoma"/>
      <w:sz w:val="16"/>
      <w:szCs w:val="16"/>
    </w:rPr>
  </w:style>
  <w:style w:type="paragraph" w:styleId="Default" w:customStyle="1">
    <w:name w:val="Default"/>
    <w:qFormat/>
    <w:rsid w:val="00024934"/>
    <w:pPr>
      <w:widowControl/>
      <w:bidi w:val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en-US" w:bidi="ar-SA"/>
    </w:rPr>
  </w:style>
  <w:style w:type="paragraph" w:styleId="Style24">
    <w:name w:val="Содержимое таблицы"/>
    <w:basedOn w:val="Normal"/>
    <w:qFormat/>
    <w:pPr/>
    <w:rPr/>
  </w:style>
  <w:style w:type="paragraph" w:styleId="Style25">
    <w:name w:val="Заголовок таблицы"/>
    <w:basedOn w:val="Style24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99"/>
    <w:rsid w:val="005e0335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admin@admilinskoe.ru" TargetMode="External"/><Relationship Id="rId4" Type="http://schemas.openxmlformats.org/officeDocument/2006/relationships/hyperlink" Target="http://www.admilinskoe.ru/" TargetMode="External"/><Relationship Id="rId5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6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7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8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9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10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11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12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13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14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15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16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17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18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19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20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21" Type="http://schemas.openxmlformats.org/officeDocument/2006/relationships/hyperlink" Target="consultantplus://offline/ref=3383D7120A41E41A5F68292116C6B9AA766111B33392AF740850482A5D463A294E768DACF5193D79DFB48DaBR7I" TargetMode="External"/><Relationship Id="rId22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23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24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25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26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27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28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29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30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31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32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33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34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35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36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37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38" Type="http://schemas.openxmlformats.org/officeDocument/2006/relationships/hyperlink" Target="consultantplus://offline/ref=3383D7120A41E41A5F68292116C6B9AA766111B33392AF740850482A5D463A294E768DACF5193D79DFB48DaBR7I" TargetMode="External"/><Relationship Id="rId39" Type="http://schemas.openxmlformats.org/officeDocument/2006/relationships/footer" Target="footer1.xml"/><Relationship Id="rId40" Type="http://schemas.openxmlformats.org/officeDocument/2006/relationships/image" Target="media/image2.jpeg"/><Relationship Id="rId41" Type="http://schemas.openxmlformats.org/officeDocument/2006/relationships/footer" Target="footer2.xml"/><Relationship Id="rId42" Type="http://schemas.openxmlformats.org/officeDocument/2006/relationships/image" Target="media/image3.jpeg"/><Relationship Id="rId43" Type="http://schemas.openxmlformats.org/officeDocument/2006/relationships/footer" Target="footer3.xml"/><Relationship Id="rId44" Type="http://schemas.openxmlformats.org/officeDocument/2006/relationships/image" Target="media/image4.jpeg"/><Relationship Id="rId45" Type="http://schemas.openxmlformats.org/officeDocument/2006/relationships/footer" Target="footer4.xml"/><Relationship Id="rId46" Type="http://schemas.openxmlformats.org/officeDocument/2006/relationships/image" Target="media/image5.png"/><Relationship Id="rId47" Type="http://schemas.openxmlformats.org/officeDocument/2006/relationships/footer" Target="footer5.xml"/><Relationship Id="rId48" Type="http://schemas.openxmlformats.org/officeDocument/2006/relationships/image" Target="media/image6.jpeg"/><Relationship Id="rId49" Type="http://schemas.openxmlformats.org/officeDocument/2006/relationships/image" Target="media/image7.jpeg"/><Relationship Id="rId50" Type="http://schemas.openxmlformats.org/officeDocument/2006/relationships/image" Target="media/image8.jpeg"/><Relationship Id="rId51" Type="http://schemas.openxmlformats.org/officeDocument/2006/relationships/image" Target="media/image9.jpeg"/><Relationship Id="rId52" Type="http://schemas.openxmlformats.org/officeDocument/2006/relationships/image" Target="media/image10.jpeg"/><Relationship Id="rId53" Type="http://schemas.openxmlformats.org/officeDocument/2006/relationships/image" Target="media/image11.jpeg"/><Relationship Id="rId54" Type="http://schemas.openxmlformats.org/officeDocument/2006/relationships/image" Target="media/image12.jpeg"/><Relationship Id="rId55" Type="http://schemas.openxmlformats.org/officeDocument/2006/relationships/footer" Target="footer6.xml"/><Relationship Id="rId56" Type="http://schemas.openxmlformats.org/officeDocument/2006/relationships/image" Target="media/image13.png"/><Relationship Id="rId57" Type="http://schemas.openxmlformats.org/officeDocument/2006/relationships/image" Target="media/image14.png"/><Relationship Id="rId58" Type="http://schemas.openxmlformats.org/officeDocument/2006/relationships/image" Target="media/image15.jpeg"/><Relationship Id="rId59" Type="http://schemas.openxmlformats.org/officeDocument/2006/relationships/image" Target="media/image16.jpeg"/><Relationship Id="rId60" Type="http://schemas.openxmlformats.org/officeDocument/2006/relationships/image" Target="media/image17.jpeg"/><Relationship Id="rId61" Type="http://schemas.openxmlformats.org/officeDocument/2006/relationships/image" Target="media/image18.jpeg"/><Relationship Id="rId62" Type="http://schemas.openxmlformats.org/officeDocument/2006/relationships/footer" Target="footer7.xml"/><Relationship Id="rId63" Type="http://schemas.openxmlformats.org/officeDocument/2006/relationships/numbering" Target="numbering.xml"/><Relationship Id="rId64" Type="http://schemas.openxmlformats.org/officeDocument/2006/relationships/fontTable" Target="fontTable.xml"/><Relationship Id="rId65" Type="http://schemas.openxmlformats.org/officeDocument/2006/relationships/settings" Target="settings.xml"/><Relationship Id="rId66" Type="http://schemas.openxmlformats.org/officeDocument/2006/relationships/theme" Target="theme/theme1.xml"/><Relationship Id="rId6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9F6E5B-F840-46EA-A8F4-459ABF47FC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2383</TotalTime>
  <Application>LibreOffice/5.4.4.2$Windows_x86 LibreOffice_project/2524958677847fb3bb44820e40380acbe820f960</Application>
  <Pages>48</Pages>
  <Words>4844</Words>
  <Characters>35861</Characters>
  <CharactersWithSpaces>40713</CharactersWithSpaces>
  <Paragraphs>742</Paragraphs>
  <Company>.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2014-02-04T07:35:00Z</dcterms:created>
  <dc:creator>.</dc:creator>
  <dc:description/>
  <dc:language>ru-RU</dc:language>
  <cp:lastModifiedBy/>
  <cp:lastPrinted>2019-09-24T15:00:19Z</cp:lastPrinted>
  <dcterms:modified xsi:type="dcterms:W3CDTF">2020-02-12T09:18:54Z</dcterms:modified>
  <cp:revision>101</cp:revision>
  <dc:subject/>
  <dc:title>ИНВЕСТИЦИОННЫЙ ПАСПОРТ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.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