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4.xml" ContentType="application/vnd.openxmlformats-officedocument.wordprocessingml.footer+xml"/>
  <Override PartName="/word/media/image3.png" ContentType="image/png"/>
  <Override PartName="/word/media/image1.jpeg" ContentType="image/jpeg"/>
  <Override PartName="/word/media/image2.png" ContentType="image/png"/>
  <Override PartName="/word/media/image21.png" ContentType="image/png"/>
  <Override PartName="/word/media/image6.jpeg" ContentType="image/jpeg"/>
  <Override PartName="/word/media/image4.png" ContentType="image/png"/>
  <Override PartName="/word/media/image5.png" ContentType="image/png"/>
  <Override PartName="/word/media/image9.png" ContentType="image/pn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png" ContentType="image/png"/>
  <Override PartName="/word/media/image18.png" ContentType="image/png"/>
  <Override PartName="/word/media/image22.png" ContentType="image/png"/>
  <Override PartName="/word/media/image19.jpeg" ContentType="image/jpeg"/>
  <Override PartName="/word/media/image20.png" ContentType="image/png"/>
  <Override PartName="/word/media/image23.png" ContentType="image/png"/>
  <Override PartName="/word/media/image24.png" ContentType="image/png"/>
  <Override PartName="/word/media/image25.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_rels/document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tbl>
      <w:tblPr>
        <w:tblW w:w="10440" w:type="dxa"/>
        <w:jc w:val="left"/>
        <w:tblInd w:w="-990" w:type="dxa"/>
        <w:tblBorders>
          <w:top w:val="threeDEngrave" w:sz="24" w:space="0" w:color="00000A"/>
          <w:left w:val="threeDEngrave" w:sz="24" w:space="0" w:color="00000A"/>
          <w:bottom w:val="threeDEmboss" w:sz="24" w:space="0" w:color="00000A"/>
          <w:right w:val="threeDEmboss" w:sz="24" w:space="0" w:color="00000A"/>
          <w:insideH w:val="threeDEmboss" w:sz="24" w:space="0" w:color="00000A"/>
          <w:insideV w:val="threeDEmboss" w:sz="24" w:space="0" w:color="00000A"/>
        </w:tblBorders>
        <w:tblCellMar>
          <w:top w:w="0" w:type="dxa"/>
          <w:left w:w="-60" w:type="dxa"/>
          <w:bottom w:w="0" w:type="dxa"/>
          <w:right w:w="108" w:type="dxa"/>
        </w:tblCellMar>
      </w:tblPr>
      <w:tblGrid>
        <w:gridCol w:w="10440"/>
      </w:tblGrid>
      <w:tr>
        <w:trPr>
          <w:trHeight w:val="585" w:hRule="atLeast"/>
        </w:trPr>
        <w:tc>
          <w:tcPr>
            <w:tcW w:w="10440" w:type="dxa"/>
            <w:tcBorders>
              <w:top w:val="threeDEngrave" w:sz="24" w:space="0" w:color="00000A"/>
              <w:left w:val="threeDEngrave" w:sz="24" w:space="0" w:color="00000A"/>
              <w:bottom w:val="threeDEmboss" w:sz="24" w:space="0" w:color="00000A"/>
              <w:right w:val="threeDEmboss" w:sz="24" w:space="0" w:color="00000A"/>
              <w:insideH w:val="threeDEmboss" w:sz="24" w:space="0" w:color="00000A"/>
              <w:insideV w:val="threeDEmboss" w:sz="24" w:space="0" w:color="00000A"/>
            </w:tcBorders>
            <w:shd w:fill="548DD4" w:val="clear"/>
            <w:tcMar>
              <w:left w:w="-60" w:type="dxa"/>
            </w:tcMar>
          </w:tcPr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/>
            </w:pPr>
            <w:r>
              <w:rPr/>
              <w:drawing>
                <wp:inline distT="0" distB="0" distL="0" distR="0">
                  <wp:extent cx="895985" cy="1076960"/>
                  <wp:effectExtent l="0" t="0" r="0" b="0"/>
                  <wp:docPr id="1" name="Рисунок 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85" cy="10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  <w:pict>
                <v:shapetype id="shapetype_136" coordsize="21600,21600" o:spt="136" adj="10800" path="m@9,l@10,em@11,21600l@12,21600e">
                  <v:stroke joinstyle="miter"/>
                  <v:formulas>
                    <v:f eqn="val #0"/>
                    <v:f eqn="sum @0 0 10800"/>
                    <v:f eqn="sum @0 0 0"/>
                    <v:f eqn="sum width 0 @0"/>
                    <v:f eqn="prod @2 2 1"/>
                    <v:f eqn="prod @3 2 1"/>
                    <v:f eqn="if @1 @5 @4"/>
                    <v:f eqn="sum 0 @6 0"/>
                    <v:f eqn="sum width 0 @6"/>
                    <v:f eqn="if @1 0 @8"/>
                    <v:f eqn="if @1 @7 width"/>
                    <v:f eqn="if @1 @8 0"/>
                    <v:f eqn="if @1 width @7"/>
                  </v:formulas>
                  <v:handles>
                    <v:h position="@0,21600"/>
                  </v:handles>
                </v:shapetype>
                <v:shape id="shape_0" fillcolor="white" stroked="t" style="position:absolute;margin-left:31.55pt;margin-top:1.05pt;width:468.1pt;height:74.35pt" type="shapetype_136">
                  <v:path textpathok="t"/>
                  <v:textpath on="t" fitshape="t" string="ИНВЕСТИЦИОННЫЙ ПАСПОРТ" style="font-family:&quot;Times New Roman&quot;"/>
                  <w10:wrap type="none"/>
                  <v:fill o:detectmouseclick="t" type="solid" color2="black"/>
                  <v:stroke color="black" joinstyle="miter" endcap="flat"/>
                </v:shape>
              </w:pic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pBdr>
                <w:bottom w:val="single" w:sz="4" w:space="1" w:color="00000A"/>
              </w:pBdr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  <w:pict>
                <v:shape id="shape_0" fillcolor="#0066cc" stroked="t" style="position:absolute;margin-left:16.55pt;margin-top:5.5pt;width:479.35pt;height:23.35pt" type="shapetype_136">
                  <v:path textpathok="t"/>
                  <v:textpath on="t" fitshape="t" string="ИЛЬИНСКИЙ МУНИЦИПАЛЬНЫЙ РАЙОН" style="font-family:&quot;Times New Roman&quot;"/>
                  <w10:wrap type="none"/>
                  <v:fill o:detectmouseclick="t" type="solid" color2="#ff9933"/>
                  <v:stroke color="#99ccff" weight="19080" joinstyle="miter" endcap="flat"/>
                </v:shape>
              </w:pic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Ивановской области</w: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/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20</w:t>
            </w: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  <w:lang w:val="en-US"/>
              </w:rPr>
              <w:t>21</w:t>
            </w: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 xml:space="preserve"> ГОД</w:t>
            </w:r>
          </w:p>
          <w:p>
            <w:pPr>
              <w:pStyle w:val="Normal"/>
              <w:shd w:val="clear" w:fill="FFFFFF"/>
              <w:ind w:left="0"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</w:tc>
      </w:tr>
    </w:tbl>
    <w:p>
      <w:pPr>
        <w:pStyle w:val="Normal"/>
        <w:pBdr>
          <w:left w:val="single" w:sz="4" w:space="1" w:color="00000A"/>
          <w:bottom w:val="single" w:sz="4" w:space="1" w:color="00000A"/>
        </w:pBdr>
        <w:shd w:val="clear" w:fill="F2F2F2"/>
        <w:ind w:left="0" w:right="-83" w:hanging="0"/>
        <w:jc w:val="center"/>
        <w:rPr>
          <w:rFonts w:ascii="Arial" w:hAnsi="Arial" w:cs="Arial"/>
          <w:b/>
          <w:b/>
          <w:bCs/>
          <w:outline/>
          <w:shadow/>
          <w:spacing w:val="20"/>
          <w:sz w:val="28"/>
          <w:szCs w:val="28"/>
        </w:rPr>
      </w:pPr>
      <w:r>
        <w:br w:type="page"/>
      </w: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ИНВЕСТИЦИОННЫЙ ПАСПОРТ</w:t>
      </w:r>
    </w:p>
    <w:p>
      <w:pPr>
        <w:pStyle w:val="Normal"/>
        <w:pBdr>
          <w:left w:val="single" w:sz="4" w:space="1" w:color="00000A"/>
          <w:bottom w:val="single" w:sz="4" w:space="1" w:color="00000A"/>
        </w:pBdr>
        <w:shd w:val="clear" w:fill="F2F2F2"/>
        <w:ind w:left="0" w:right="-83" w:hanging="0"/>
        <w:jc w:val="center"/>
        <w:rPr/>
      </w:pP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ИЛЬИНСКОГО МУНИЦИПАЛЬНОГО РАЙОНА</w:t>
      </w:r>
    </w:p>
    <w:p>
      <w:pPr>
        <w:pStyle w:val="Normal"/>
        <w:pBdr>
          <w:left w:val="single" w:sz="4" w:space="1" w:color="00000A"/>
          <w:bottom w:val="single" w:sz="4" w:space="1" w:color="00000A"/>
        </w:pBdr>
        <w:shd w:val="clear" w:fill="F2F2F2"/>
        <w:ind w:left="0" w:right="-83" w:hanging="0"/>
        <w:jc w:val="center"/>
        <w:rPr/>
      </w:pP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на 01.01.2022г.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i/>
          <w:i/>
          <w:iCs/>
          <w:sz w:val="24"/>
          <w:szCs w:val="24"/>
        </w:rPr>
      </w:pPr>
      <w:r>
        <w:rPr>
          <w:rFonts w:cs="Bookman Old Style" w:ascii="Bookman Old Style" w:hAnsi="Bookman Old Style"/>
          <w:i/>
          <w:iCs/>
          <w:sz w:val="24"/>
          <w:szCs w:val="24"/>
        </w:rPr>
        <w:t>(городского округа, муниципального района)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1. ОБЩАЯ ХАРАКТЕРИСТИКА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1.1.Наименование муниципального образования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1.2.Центр муниципального образования</w:t>
      </w:r>
      <w:r>
        <w:rPr>
          <w:rFonts w:cs="Bookman Old Style" w:ascii="Bookman Old Style" w:hAnsi="Bookman Old Style"/>
          <w:sz w:val="24"/>
          <w:szCs w:val="24"/>
        </w:rPr>
        <w:t xml:space="preserve"> - п. Ильинское-Хованское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1.3.Глава Ильинского муниципального района(ФИО) </w:t>
      </w:r>
      <w:r>
        <w:rPr>
          <w:rFonts w:cs="Bookman Old Style" w:ascii="Bookman Old Style" w:hAnsi="Bookman Old Style"/>
          <w:sz w:val="24"/>
          <w:szCs w:val="24"/>
        </w:rPr>
        <w:t>– Васютинский Сергей Иванович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1.4.Ответственный от администрации по инвестиционной политике (ФИО) </w:t>
      </w:r>
      <w:r>
        <w:rPr>
          <w:rFonts w:cs="Bookman Old Style" w:ascii="Bookman Old Style" w:hAnsi="Bookman Old Style"/>
          <w:sz w:val="24"/>
          <w:szCs w:val="24"/>
        </w:rPr>
        <w:t>– Ефремов Сергей Михайлович, заместитель главы администрации Ильинского муниципального района, начальник отдела экономики и муниципального хозяйства.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1.5.</w:t>
      </w:r>
      <w:r>
        <w:rPr>
          <w:rFonts w:cs="Bookman Old Style" w:ascii="Bookman Old Style" w:hAnsi="Bookman Old Style"/>
          <w:b/>
          <w:bCs/>
          <w:spacing w:val="-6"/>
          <w:sz w:val="24"/>
          <w:szCs w:val="24"/>
        </w:rPr>
        <w:t>Контактная информация (почтовый адрес, телефон, факс, электронная почта, адрес представительства в сети Интернет, официальное печатное издание)</w:t>
      </w: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 </w:t>
      </w: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155060 Ивановская обл., п. Ильинское-Хованское, ул. Советская, д. 2, тел./факс: (49353) 2-18-01, 2-14-09 / 2-14-01</w:t>
      </w:r>
      <w:r>
        <w:rPr>
          <w:rFonts w:cs="Bookman Old Style" w:ascii="Bookman Old Style" w:hAnsi="Bookman Old Style"/>
          <w:sz w:val="24"/>
          <w:szCs w:val="24"/>
        </w:rPr>
        <w:t xml:space="preserve">,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pacing w:val="-6"/>
          <w:sz w:val="24"/>
          <w:szCs w:val="24"/>
        </w:rPr>
        <w:t>электронная почта</w:t>
      </w:r>
      <w:r>
        <w:rPr>
          <w:rFonts w:cs="Bookman Old Style" w:ascii="Bookman Old Style" w:hAnsi="Bookman Old Style"/>
          <w:sz w:val="24"/>
          <w:szCs w:val="24"/>
        </w:rPr>
        <w:t xml:space="preserve">: </w:t>
      </w:r>
      <w:hyperlink r:id="rId3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i</w:t>
        </w:r>
      </w:hyperlink>
      <w:r>
        <w:rPr>
          <w:rStyle w:val="Style12"/>
          <w:rFonts w:cs="Bookman Old Style" w:ascii="Bookman Old Style" w:hAnsi="Bookman Old Style"/>
          <w:b/>
          <w:bCs/>
          <w:i/>
          <w:iCs/>
          <w:color w:val="00000A"/>
          <w:sz w:val="24"/>
          <w:szCs w:val="24"/>
          <w:lang w:val="en-US"/>
        </w:rPr>
        <w:t>lin</w:t>
      </w:r>
      <w:hyperlink r:id="rId4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@</w:t>
        </w:r>
      </w:hyperlink>
      <w:hyperlink r:id="rId5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</w:hyperlink>
      <w:hyperlink r:id="rId6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</w:hyperlink>
      <w:hyperlink r:id="rId7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</w:rPr>
        <w:t xml:space="preserve">, 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upravlenie_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</w:rPr>
        <w:t>2014@mail.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ru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официальный сайт: </w:t>
      </w:r>
      <w:hyperlink r:id="rId8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www</w:t>
        </w:r>
      </w:hyperlink>
      <w:hyperlink r:id="rId9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</w:hyperlink>
      <w:hyperlink r:id="rId10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</w:hyperlink>
      <w:hyperlink r:id="rId11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</w:hyperlink>
      <w:hyperlink r:id="rId12">
        <w:r>
          <w:rPr>
            <w:rStyle w:val="Style12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официальное печатное издание – газета «</w:t>
      </w:r>
      <w:r>
        <w:rPr>
          <w:rFonts w:cs="Bookman Old Style" w:ascii="Bookman Old Style" w:hAnsi="Bookman Old Style"/>
          <w:b/>
          <w:bCs/>
          <w:sz w:val="24"/>
          <w:szCs w:val="24"/>
        </w:rPr>
        <w:t>Звезда</w:t>
      </w:r>
      <w:r>
        <w:rPr>
          <w:rFonts w:cs="Bookman Old Style" w:ascii="Bookman Old Style" w:hAnsi="Bookman Old Style"/>
          <w:sz w:val="24"/>
          <w:szCs w:val="24"/>
        </w:rPr>
        <w:t>».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1.6.Географическая характеристика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 расположен в центральной полосе России и граничит с севера  и северо-запада с Ярославской областью, с юга – с Владимирской, с юго-востока  и востока – с Гаврилово-Посадским, Тейковским и Комсомольским районами Ивановской области. Равнинная местность пересекается реками Сухода, Лахость, Сахта, Ухтома, Нерль. Имеются лесные массивы. Природные ресурсы представлены запасами гравия, песка, глины.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1.7.Общая площадь территории</w:t>
      </w:r>
      <w:r>
        <w:rPr>
          <w:rFonts w:cs="Bookman Old Style" w:ascii="Bookman Old Style" w:hAnsi="Bookman Old Style"/>
          <w:sz w:val="24"/>
          <w:szCs w:val="24"/>
        </w:rPr>
        <w:t>: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1.7.1.Общая площадь территории (тыс.га) - 140,009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37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1.7.2.Площадь застроенных земель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1,096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37" w:leader="none"/>
          <w:tab w:val="left" w:pos="652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1.7.3.Незастроенные территории, всего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8,876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37" w:leader="none"/>
          <w:tab w:val="left" w:pos="6521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1.7.4.Сельскохозяйственные угодья (тыс.га) — </w:t>
      </w:r>
      <w:r>
        <w:rPr>
          <w:rFonts w:cs="Bookman Old Style" w:ascii="Bookman Old Style" w:hAnsi="Bookman Old Style"/>
          <w:color w:val="000000"/>
          <w:sz w:val="24"/>
          <w:szCs w:val="24"/>
        </w:rPr>
        <w:t>54,218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1.7.5.Лесные земли (тыс.га) — </w:t>
      </w:r>
      <w:r>
        <w:rPr>
          <w:rFonts w:cs="Bookman Old Style" w:ascii="Bookman Old Style" w:hAnsi="Bookman Old Style"/>
          <w:color w:val="000000"/>
          <w:sz w:val="24"/>
          <w:szCs w:val="24"/>
        </w:rPr>
        <w:t>53,014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1.7.6.Площади под древесно-кустарниковой растительностью, не входящие в лесной фонд (тыс.га) - 5,179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1.7.7.Водоемы (тыс.га) - 1,035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1.7.8.Водные объекты (название)- реки Сухода, Лахость, Сахта, Ухтома, Нерль.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1.7.9.Земли особо охраняемых территорий (тыс.га) —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1.8.Наличие месторождений общераспространенных полезных ископаемых (наименование)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вид ресурса и его запасы - гравий, песок, глина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1.8.1.Запас ресурса (млн.куб.м.) – 2,195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1.9.-1.13.Население и трудовые ресурсы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1.9.  Количество населенных пунктов (ед.) </w:t>
      </w:r>
      <w:r>
        <w:rPr>
          <w:rFonts w:cs="Bookman Old Style" w:ascii="Bookman Old Style" w:hAnsi="Bookman Old Style"/>
          <w:sz w:val="24"/>
          <w:szCs w:val="24"/>
        </w:rPr>
        <w:t xml:space="preserve">- 157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1.10.Численность постоянного населения </w:t>
      </w:r>
      <w:r>
        <w:rPr>
          <w:rFonts w:cs="Bookman Old Style" w:ascii="Bookman Old Style" w:hAnsi="Bookman Old Style"/>
          <w:sz w:val="24"/>
          <w:szCs w:val="24"/>
        </w:rPr>
        <w:t>(на 01.01.2022 г.)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1.10.1.Всего (тыс. чел.) – 7,864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1.10.2.Численность городского населения (тыс. чел.) - 2,804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1.10.3.Численность сельского населения (тыс. чел.) - 5,060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1.10.4.Плотность населения (чел./кв.км.) – 5,62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1.11.Демографическая ситуация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1.11.1.Доля жителей младше трудоспособного возраста (%) – 13,2% (по состоянию на 01.01.2021)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1.11.2.Доля жителей в трудоспособном возрасте (%) – 50,6% (по состоянию на 01.01.2021)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1.11.3.Доля жителей старше трудоспособного возраста (%) – 36,1 % (по состоянию на 01.01.2021)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1.11.4.Доля мужчин в населении (%) – 46,98 % (по состоянию на 01.01.2021)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1.12.Численность населения в трудоспособном возрасте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1.12.1.всего (тыс.чел.) – 4,001 (по состоянию на 01.01.2021) 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1.12.2.численность безработных, всего (чел.) – 89 (2,2%)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36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1.13.Доходы населения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1.13.1.Среднемесячная заработная плата (тыс. руб.) – 27,9366 (за  2021 г.)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1.13.2.Численность населения с денежными доходами ниже величины прожиточного минимума (%) – 12,9 (данные по Ивановской области)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1.14.Общая экологическая ситуация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1.14.1.наличие объектов катастрофической опасности (ед.)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46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1.14.2.содержание загрязняющих веществ в воде (мг/куб. м.)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46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1.14.3.загрязнение почвы химическими элементами (мг/кг) -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1.14.4.количество отходов, образуемых на предприятиях, всего (тонн/год) — </w:t>
      </w:r>
      <w:r>
        <w:rPr>
          <w:rFonts w:cs="Bookman Old Style" w:ascii="Bookman Old Style" w:hAnsi="Bookman Old Style"/>
          <w:color w:val="000000"/>
          <w:sz w:val="24"/>
          <w:szCs w:val="24"/>
        </w:rPr>
        <w:t>н.д.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2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1.14.5.токсичных (тонн/год)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2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1.14.6.радиационный фон (Зиверт) – в норме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1.14.7.количество мест с превышением нормы радиационного фона (ед.) -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FF0000"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color w:val="FF0000"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2. ЭКОНОМИЧЕСКИЙ ПОТЕНЦИАЛ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2.1.Основные виды экономической деятельности в промышленности</w:t>
      </w:r>
      <w:r>
        <w:rPr>
          <w:rFonts w:cs="Bookman Old Style" w:ascii="Bookman Old Style" w:hAnsi="Bookman Old Style"/>
          <w:sz w:val="24"/>
          <w:szCs w:val="24"/>
        </w:rPr>
        <w:t>- пищевая промышленность, обработка древесины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2.1.1.Отгружено промышленной продукции (млн.руб.) – 1020,092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2.1.2.Промышленные (крупные и средние) предприятия района (ед.) – 1 ед.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ОАО «Аньковское» (производство сыров и сливочного масла).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2.1.3.Прирост объема продукции в промышленности — 104,2(%)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2.1.4.Перечень основных предприятий (Наименование предприятия, форма собственности, основной вид деятельности, почтовый адрес, ФИО руководителя, должность руководителя, телефон, факс, адрес электронной почты, виды выпускаемой продукции):</w:t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pacing w:val="-6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 МУП РМПО ЖКХ Ильинского муниципального района, п. Ильинское, ул. Луговая, д.3А,   содержание торговой площади, бани, водоснабжение директор – Морозов А.М., 2-12-45</w:t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 МУП «ЖКХ (Ильинское) Ильинского муниципального района», п. Ильинское, ул. Советская, 85, водоснабжение и водоотведение, очистка сточных вод, директор – Денисенков Д.С., 2-17-37</w:t>
      </w:r>
    </w:p>
    <w:p>
      <w:pPr>
        <w:pStyle w:val="Normal"/>
        <w:pBdr>
          <w:left w:val="single" w:sz="4" w:space="1" w:color="00000A"/>
        </w:pBdr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 ООО «Ильинское ЖКХ», п. Ильинское, ул. Кооперативная, 3, содержание и ремонт жилфонда, директор – Князев С.А., 2-12-80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4. Ильинский производственный участок АО «Тейковское ПТС», централизованное теплоснабжение, начальник участка – Булыгин С.В., 2-16-81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5. МУП «Ильинское АТП», п. Ильинское, ул. Советская, д.83, перевозка пассажиров внутри района и междугородние рейсы, директор - Пшеничнов В.А., 2-17-93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6. ЗАО «Ильинское», п. Ильинское, ул. Советская, д.13, животноводство, растениеводство, директор — Шварц Эрвин, 2-12-57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7. ЗАО «Гарское», с. Гари, животноводство, растениеводство, директор - Боталов В.Н., 2-53-17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8. ООО «Ильинское-Агро» группа компаний «Ермак», животноводство, генеральный директор – </w:t>
      </w:r>
      <w:r>
        <w:rPr>
          <w:rFonts w:cs="Bookman Old Style" w:ascii="Bookman Old Style" w:hAnsi="Bookman Old Style"/>
          <w:sz w:val="24"/>
          <w:szCs w:val="24"/>
        </w:rPr>
        <w:t>Звескина Н.В.</w:t>
      </w:r>
      <w:r>
        <w:rPr>
          <w:rFonts w:cs="Bookman Old Style" w:ascii="Bookman Old Style" w:hAnsi="Bookman Old Style"/>
          <w:sz w:val="24"/>
          <w:szCs w:val="24"/>
        </w:rPr>
        <w:t>, 2-63-10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9. ОАО «Аньковское», с. Аньково, производство сыра, сливочного масла, генеральный директор – Грязнова И.Л., 8-4932-93-28-20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10. ООО «Константиновский карьер», д. Никольское (г. Иваново, ул. Лакина, д.1), добыча гравия, песка, глины, директор – Хрипунов А.В., 8-920-345-36-10</w:t>
      </w:r>
    </w:p>
    <w:p>
      <w:pPr>
        <w:pStyle w:val="Normal"/>
        <w:pBdr>
          <w:left w:val="single" w:sz="4" w:space="0" w:color="00000A"/>
        </w:pBdr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11. ООО «Тейковская земельная компания», д. Петряйка (г. Иваново, ул. 11-й Проезд, д.7, оф.69), добыча гравия, песка, глины, начальник участка - директор – Гришанов А.Н., 38-43-79.</w:t>
      </w:r>
    </w:p>
    <w:p>
      <w:pPr>
        <w:pStyle w:val="Normal"/>
        <w:rPr/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2">
                <wp:simplePos x="0" y="0"/>
                <wp:positionH relativeFrom="column">
                  <wp:posOffset>-8890</wp:posOffset>
                </wp:positionH>
                <wp:positionV relativeFrom="paragraph">
                  <wp:posOffset>334010</wp:posOffset>
                </wp:positionV>
                <wp:extent cx="27940" cy="1475105"/>
                <wp:effectExtent l="0" t="0" r="0" b="0"/>
                <wp:wrapNone/>
                <wp:docPr id="4" name="Изображение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0" cy="147456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Bookman Old Style" w:hAnsi="Bookman Old Style"/>
          <w:sz w:val="24"/>
          <w:szCs w:val="24"/>
        </w:rPr>
        <w:t>12.</w:t>
      </w:r>
      <w:r>
        <w:rPr>
          <w:rFonts w:cs="Bookman Old Style" w:ascii="Bookman Old Style" w:hAnsi="Bookman Old Style"/>
          <w:sz w:val="24"/>
          <w:szCs w:val="24"/>
        </w:rPr>
        <w:t xml:space="preserve"> ООО «РЕББИТ-ХОЛ», (</w:t>
      </w:r>
      <w:r>
        <w:rPr>
          <w:rFonts w:ascii="Bookman Old Style" w:hAnsi="Bookman Old Style"/>
          <w:sz w:val="24"/>
          <w:szCs w:val="24"/>
          <w:highlight w:val="white"/>
        </w:rPr>
        <w:t>с. Ивашево, ул. Советская, д. 7)</w:t>
      </w:r>
      <w:r>
        <w:rPr>
          <w:sz w:val="22"/>
          <w:szCs w:val="22"/>
        </w:rPr>
        <w:t xml:space="preserve"> </w:t>
      </w:r>
      <w:r>
        <w:rPr>
          <w:rFonts w:ascii="Bookman Old Style" w:hAnsi="Bookman Old Style"/>
          <w:sz w:val="24"/>
          <w:szCs w:val="24"/>
        </w:rPr>
        <w:t xml:space="preserve">производство мяса кроликов,  </w:t>
      </w:r>
      <w:r>
        <w:rPr>
          <w:rFonts w:ascii="Bookman Old Style" w:hAnsi="Bookman Old Style"/>
          <w:bCs/>
          <w:sz w:val="24"/>
          <w:szCs w:val="24"/>
        </w:rPr>
        <w:t>Директор Дорошенко А.М.</w:t>
      </w:r>
      <w:r>
        <w:rPr>
          <w:rFonts w:ascii="Bookman Old Style" w:hAnsi="Bookman Old Style"/>
          <w:bCs/>
        </w:rPr>
        <w:t xml:space="preserve"> </w:t>
      </w:r>
      <w:r>
        <w:rPr>
          <w:rFonts w:ascii="Bookman Old Style" w:hAnsi="Bookman Old Style"/>
          <w:bCs/>
          <w:sz w:val="24"/>
          <w:szCs w:val="24"/>
        </w:rPr>
        <w:t xml:space="preserve">- </w:t>
      </w:r>
      <w:r>
        <w:rPr>
          <w:rFonts w:ascii="Bookman Old Style" w:hAnsi="Bookman Old Style"/>
          <w:sz w:val="24"/>
          <w:szCs w:val="24"/>
          <w:highlight w:val="white"/>
        </w:rPr>
        <w:t>8-916-592-39-92</w:t>
      </w:r>
    </w:p>
    <w:p>
      <w:pPr>
        <w:pStyle w:val="Default"/>
        <w:rPr>
          <w:rFonts w:ascii="Bookman Old Style" w:hAnsi="Bookman Old Style"/>
          <w:color w:val="00000A"/>
          <w:highlight w:val="white"/>
        </w:rPr>
      </w:pPr>
      <w:r>
        <w:rPr>
          <w:rFonts w:ascii="Bookman Old Style" w:hAnsi="Bookman Old Style"/>
          <w:color w:val="00000A"/>
          <w:highlight w:val="white"/>
        </w:rPr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2.1.5.Отраслевая структура, % (легкая промышленность, пищевая, деревообрабатывающая, топливная, сельское хозяйство) - сельское хозяйство – 16,4 %,  промышленность – 69,5 %, здравоохранение — 4,1%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b w:val="false"/>
          <w:b w:val="false"/>
          <w:bCs w:val="false"/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2.2.Основные виды экономической деятельности в сельском хозяйстве- растениеводство, животноводство.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 xml:space="preserve">2.2.1.Валовая продукция (млн.руб.) –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lang w:val="en-US"/>
        </w:rPr>
        <w:t>240,589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2.2.3.Продукция растениеводства (млн.руб.) – 41,123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2.2.4.Продукция животноводства (млн.руб.) – 173,363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2.2.5.Количество сельскохозяйственных предприятий (ед.) - 7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2.2.6.Количество фермерских хозяйств (ед.) - 2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2.3.Структура посевных площадей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2.3.1.Зерновые культуры (тыс. га.) – 1,890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2.3.2.Картофель (тыс. га.) – нет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2.3.3.Овощи (тыс. га.) - нет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2.3.4.Многолетние травы, клевер, однолетние травы,кукуруза (тыс. га.) – 4,348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 w:val="false"/>
          <w:b w:val="false"/>
          <w:bCs w:val="false"/>
          <w:color w:val="0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2.4.Инвестиции в основной капитал, всего (млн.руб.) </w:t>
      </w:r>
      <w:r>
        <w:rPr>
          <w:rFonts w:cs="Bookman Old Style" w:ascii="Bookman Old Style" w:hAnsi="Bookman Old Style"/>
          <w:sz w:val="24"/>
          <w:szCs w:val="24"/>
        </w:rPr>
        <w:t>– 25,506 ( за 2021г.)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2.4.1.Жилые здания и помещения (млн.руб.) – 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2.4.2.Здания (кроме жилых) и сооружения (млн.руб.) – 9,491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2.4.3.Машины, оборудование, транспортные средства (млн.руб.) – 15,684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2.4.4.Прочие инвестиции (млн.руб.) – 0,318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2.5.Занятость населения и трудовые ресурсы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2.5.1.Численность трудовых ресурсов (тыс.чел.) – 4,4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2.5.2.Численность занятых в экономике всего (тыс.чел.) – 3,600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03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2.5.3.</w:t>
      </w:r>
      <w:r>
        <w:rPr>
          <w:rFonts w:cs="Bookman Old Style" w:ascii="Bookman Old Style" w:hAnsi="Bookman Old Style"/>
          <w:spacing w:val="-4"/>
          <w:sz w:val="24"/>
          <w:szCs w:val="24"/>
        </w:rPr>
        <w:t>Численность работников предприятий и организаций всего (тыс.чел.) – 2,2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2.5.4.Численность работников предприятий и организаций бюджетной сферы (тыс. чел.) – </w:t>
      </w:r>
      <w:r>
        <w:rPr>
          <w:rFonts w:cs="Bookman Old Style" w:ascii="Bookman Old Style" w:hAnsi="Bookman Old Style"/>
          <w:color w:val="000000"/>
          <w:sz w:val="24"/>
          <w:szCs w:val="24"/>
        </w:rPr>
        <w:t>0,517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2.6.Малое предпринимательство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2.6.1.Количество малых предприятий (ед.) - 33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2.6.2.Количество индивидуальных  предпринимателей (ед.) – 157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mallCaps/>
          <w:sz w:val="24"/>
          <w:szCs w:val="24"/>
        </w:rPr>
        <w:t>2.6.3.</w:t>
      </w:r>
      <w:r>
        <w:rPr>
          <w:rFonts w:cs="Bookman Old Style" w:ascii="Bookman Old Style" w:hAnsi="Bookman Old Style"/>
          <w:sz w:val="24"/>
          <w:szCs w:val="24"/>
        </w:rPr>
        <w:t>Доля занятых в малом предпринимательстве в общей численности занятых (%) – 59,7%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2.6.4.Количество малых  предприятий по отраслям экономики (в промышленности, строительстве, торговле и общественном питании, другое) - платные услуги – 35 %, торговля – 35 %, промышленность – 30 %.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2.7.Общий объем розничного товарооборота, включая общественное питание (млн.руб.) </w:t>
      </w:r>
      <w:r>
        <w:rPr>
          <w:rFonts w:cs="Bookman Old Style" w:ascii="Bookman Old Style" w:hAnsi="Bookman Old Style"/>
          <w:sz w:val="24"/>
          <w:szCs w:val="24"/>
        </w:rPr>
        <w:t>– 265,703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2.8.Общий объем реализации платных услуг населению (млн.руб.) </w:t>
      </w:r>
      <w:r>
        <w:rPr>
          <w:rFonts w:cs="Bookman Old Style" w:ascii="Bookman Old Style" w:hAnsi="Bookman Old Style"/>
          <w:sz w:val="24"/>
          <w:szCs w:val="24"/>
        </w:rPr>
        <w:t xml:space="preserve">– </w:t>
      </w:r>
      <w:r>
        <w:rPr>
          <w:rFonts w:cs="Bookman Old Style" w:ascii="Bookman Old Style" w:hAnsi="Bookman Old Style"/>
          <w:i w:val="false"/>
          <w:iCs w:val="false"/>
          <w:sz w:val="24"/>
          <w:szCs w:val="24"/>
          <w:lang w:val="en-US"/>
        </w:rPr>
        <w:t>70,259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i w:val="false"/>
          <w:i w:val="false"/>
          <w:iCs w:val="false"/>
          <w:sz w:val="24"/>
          <w:szCs w:val="24"/>
          <w:lang w:val="en-US"/>
        </w:rPr>
      </w:pPr>
      <w:r>
        <w:rPr>
          <w:rFonts w:cs="Bookman Old Style" w:ascii="Bookman Old Style" w:hAnsi="Bookman Old Style"/>
          <w:i w:val="false"/>
          <w:iCs w:val="false"/>
          <w:sz w:val="24"/>
          <w:szCs w:val="24"/>
          <w:lang w:val="en-US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2.9.Торговля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2.9.1.Количество организаций розничной торговли (магазины, палатки) на 1000 жителей (число организаций на 1000 жителей) – </w:t>
      </w:r>
      <w:r>
        <w:rPr>
          <w:rFonts w:cs="Bookman Old Style" w:ascii="Bookman Old Style" w:hAnsi="Bookman Old Style"/>
          <w:color w:val="000000"/>
          <w:sz w:val="24"/>
          <w:szCs w:val="24"/>
        </w:rPr>
        <w:t>8,1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2.9.2.Количество торговых мест на вещевых, смешанных и продовольственных рынках на 1000 жителей (ед.): – 4,5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2.10.Транспортные услуги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2.10.1.Установленный тариф на 1 поездку на пассажирском транспорте по внутригородскому, пригородному и междугороднему маршрутам, (руб.) - 2,34 (с 01.01.2016).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32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2.11.Жилье и его доступность</w:t>
      </w:r>
    </w:p>
    <w:p>
      <w:pPr>
        <w:pStyle w:val="Normal"/>
        <w:pBdr>
          <w:left w:val="single" w:sz="4" w:space="0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2.11.1.Обеспеченность жильём (кв. м. на 1 жителя)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38,3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2.11.2.Ввод нового жилья (кв. м. на 1000 жителей)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90,07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>2.11.3.Среднерыночная стоимость 1 кв.м. жилья — 30,0 тыс.руб.</w:t>
      </w:r>
    </w:p>
    <w:p>
      <w:pPr>
        <w:pStyle w:val="Normal"/>
        <w:pBdr>
          <w:left w:val="single" w:sz="4" w:space="0" w:color="00000A"/>
        </w:pBdr>
        <w:shd w:val="clear" w:fill="FFFFFF"/>
        <w:tabs>
          <w:tab w:val="left" w:pos="552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2.14.Потребление газа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2.14.1.за год (куб. м.) – </w:t>
      </w:r>
      <w:r>
        <w:rPr>
          <w:rFonts w:cs="Bookman Old Style" w:ascii="Bookman Old Style" w:hAnsi="Bookman Old Style"/>
          <w:color w:val="000000"/>
          <w:sz w:val="24"/>
          <w:szCs w:val="24"/>
          <w:lang w:val="en-US"/>
        </w:rPr>
        <w:t>8762531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2.14.2.за сутки (куб. м.) - </w:t>
      </w:r>
      <w:r>
        <w:rPr>
          <w:rFonts w:cs="Bookman Old Style" w:ascii="Bookman Old Style" w:hAnsi="Bookman Old Style"/>
          <w:color w:val="000000"/>
          <w:sz w:val="24"/>
          <w:szCs w:val="24"/>
          <w:lang w:val="en-US"/>
        </w:rPr>
        <w:t>24007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2.15.Потребление воды (куб. м.) </w:t>
      </w:r>
      <w:r>
        <w:rPr>
          <w:rFonts w:cs="Bookman Old Style" w:ascii="Bookman Old Style" w:hAnsi="Bookman Old Style"/>
          <w:color w:val="000000"/>
          <w:sz w:val="24"/>
          <w:szCs w:val="24"/>
        </w:rPr>
        <w:t>– 165640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9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2.16.Потребление тепловой энергии (Гкал) – 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lang w:val="en-US"/>
        </w:rPr>
        <w:t>7019,07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187" w:leader="none"/>
        </w:tabs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3. ИНФРАСТРУКТУРА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3.1.Наименования основных транспортных магистралей</w:t>
      </w:r>
      <w:r>
        <w:rPr>
          <w:rFonts w:cs="Bookman Old Style" w:ascii="Bookman Old Style" w:hAnsi="Bookman Old Style"/>
          <w:sz w:val="24"/>
          <w:szCs w:val="24"/>
        </w:rPr>
        <w:t>: Ростов – Иваново – Нижний Новгород (38,7 км на территории района)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3.1.1.</w:t>
      </w:r>
      <w:r>
        <w:rPr>
          <w:rFonts w:cs="Bookman Old Style" w:ascii="Bookman Old Style" w:hAnsi="Bookman Old Style"/>
          <w:spacing w:val="-6"/>
          <w:sz w:val="24"/>
          <w:szCs w:val="24"/>
        </w:rPr>
        <w:t xml:space="preserve">протяженность автомобильных дорог общего пользования местного значения (км.) – 251,5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3.1.2.протяженность автомобильных дорог с твердым покрытием (км.) - 107,9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3.2.Железнодорожный транспорт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3.2.1.наличие грузовых ж/д станций (ед.) -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3.2.2.наименование станций — нет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02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3.3.Связь и телекоммуникации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3.3.1.наименования организаций, предоставляющих услуги мобильной связи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Beeline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MTS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MegaFon</w:t>
      </w:r>
      <w:r>
        <w:rPr>
          <w:rFonts w:cs="Bookman Old Style" w:ascii="Bookman Old Style" w:hAnsi="Bookman Old Style"/>
          <w:sz w:val="24"/>
          <w:szCs w:val="24"/>
        </w:rPr>
        <w:t>.</w:t>
      </w:r>
      <w:r>
        <w:rPr>
          <w:rFonts w:cs="Bookman Old Style" w:ascii="Bookman Old Style" w:hAnsi="Bookman Old Style"/>
          <w:sz w:val="24"/>
          <w:szCs w:val="24"/>
          <w:lang w:val="en-US"/>
        </w:rPr>
        <w:t>Tele-2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3.3.2.наименование организаций, предоставляющих услуги доступа в Интернет - ЛТУ  п. Ильинское МЦТЭТ г. Тейково Ивановский филиал ОАО «Ростелеком»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509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3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</w:rPr>
        <w:t>.</w:t>
      </w:r>
      <w:r>
        <w:rPr>
          <w:rFonts w:cs="Bookman Old Style" w:ascii="Bookman Old Style" w:hAnsi="Bookman Old Style"/>
          <w:b/>
          <w:bCs/>
          <w:sz w:val="24"/>
          <w:szCs w:val="24"/>
        </w:rPr>
        <w:t>4.Финансовые организации (включая филиалы)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3.4.1.количество банков (ед.) - 2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3.4.2.</w:t>
      </w:r>
      <w:r>
        <w:rPr>
          <w:rFonts w:cs="Bookman Old Style" w:ascii="Bookman Old Style" w:hAnsi="Bookman Old Style"/>
          <w:spacing w:val="-6"/>
          <w:sz w:val="24"/>
          <w:szCs w:val="24"/>
        </w:rPr>
        <w:t xml:space="preserve">название банков </w:t>
      </w:r>
      <w:r>
        <w:rPr>
          <w:rFonts w:cs="Bookman Old Style" w:ascii="Bookman Old Style" w:hAnsi="Bookman Old Style"/>
          <w:sz w:val="24"/>
          <w:szCs w:val="24"/>
        </w:rPr>
        <w:t>– Ивановское ОСБ РФ (доп. офис № 8639/051); Ивановский региональный филиал АО «Россельхозбанк» (доп. Офис)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3.5.Страховые компании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3.5.1.количество страховых компаний (ед) - 1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3.5.2.название страховых компаний – ООО «Росгосстрах» Филиал ООО «Росгосстрах» в Ивановской области» Страховой отдел в п. Ильинское.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3.6.Муниципальная нежилая недвижимость и землепользование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3.6.1.Наличие реестра муниципальной нежилой недвижимости (да/нет) - да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9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3.6.2.</w:t>
      </w:r>
      <w:r>
        <w:rPr>
          <w:rFonts w:cs="Bookman Old Style" w:ascii="Bookman Old Style" w:hAnsi="Bookman Old Style"/>
          <w:spacing w:val="-6"/>
          <w:sz w:val="24"/>
          <w:szCs w:val="24"/>
        </w:rPr>
        <w:t>Наличие концепции управления муниципальной недвижимостью (да/нет) - да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61" w:leader="none"/>
        </w:tabs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3.7 Культурно - просветительное обслуживание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3.7.1.</w:t>
      </w:r>
      <w:r>
        <w:rPr>
          <w:rFonts w:cs="Bookman Old Style" w:ascii="Bookman Old Style" w:hAnsi="Bookman Old Style"/>
          <w:color w:val="000000"/>
          <w:sz w:val="24"/>
          <w:szCs w:val="24"/>
        </w:rPr>
        <w:t>Число работающих объектов культурно-просветительного обслуживания на 1000 жителей (число объектов на 1000 жителей) – 3,05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3.7.2.Обеспеченность учреждениями культурно-досугового типа (учреждений на 100000 жителей) – 152,59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74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3.7.3.Обеспеченность общедоступными библиотеками (учреждений на 100000 жителей)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139,9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3.7.4.Количество спортивно-оздоровительных учреждений (бассейнов, лыжных баз и т.д.) на 10000 жителей (тыс.кв.м.): залами – </w:t>
      </w:r>
      <w:r>
        <w:rPr>
          <w:rFonts w:cs="Bookman Old Style" w:ascii="Bookman Old Style" w:hAnsi="Bookman Old Style"/>
          <w:color w:val="000000"/>
          <w:sz w:val="24"/>
          <w:szCs w:val="24"/>
          <w:lang w:val="en-US"/>
        </w:rPr>
        <w:t>0,</w:t>
      </w:r>
      <w:r>
        <w:rPr>
          <w:rFonts w:cs="Bookman Old Style" w:ascii="Bookman Old Style" w:hAnsi="Bookman Old Style"/>
          <w:color w:val="000000"/>
          <w:sz w:val="24"/>
          <w:szCs w:val="24"/>
          <w:lang w:val="ru-RU"/>
        </w:rPr>
        <w:t>78</w:t>
      </w:r>
      <w:r>
        <w:rPr>
          <w:rFonts w:cs="Bookman Old Style" w:ascii="Bookman Old Style" w:hAnsi="Bookman Old Style"/>
          <w:color w:val="000000"/>
          <w:sz w:val="24"/>
          <w:szCs w:val="24"/>
        </w:rPr>
        <w:t>; плоскостными сооружениями – 18,1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90" w:leader="none"/>
        </w:tabs>
        <w:ind w:left="0" w:right="-83" w:hanging="0"/>
        <w:jc w:val="both"/>
        <w:rPr>
          <w:rFonts w:ascii="Bookman Old Style" w:hAnsi="Bookman Old Style" w:cs="Bookman Old Style"/>
          <w:color w:val="000000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color w:val="800000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3.8.Социальная защита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>3.8.1.Бюджетная обеспеченность по разделу «Социальная политика» на душу населения (руб.) 329,82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85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3.8.2.Доля малоимущих  граждан, зарегистрированных в органах социальной защиты населения от всех жителей (%) – </w:t>
      </w:r>
      <w:r>
        <w:rPr>
          <w:rFonts w:cs="Bookman Old Style" w:ascii="Bookman Old Style" w:hAnsi="Bookman Old Style"/>
          <w:color w:val="000000"/>
          <w:sz w:val="24"/>
          <w:szCs w:val="24"/>
          <w:lang w:val="en-US"/>
        </w:rPr>
        <w:t>28,8</w:t>
      </w:r>
      <w:r>
        <w:rPr>
          <w:rFonts w:cs="Bookman Old Style" w:ascii="Bookman Old Style" w:hAnsi="Bookman Old Style"/>
          <w:color w:val="000000"/>
          <w:sz w:val="24"/>
          <w:szCs w:val="24"/>
        </w:rPr>
        <w:t>%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3.9.Здравоохранение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3.9.1.Обеспеченность населения местами в больницах для стационарного лечения (коек на тыс. жителей) – </w:t>
      </w:r>
      <w:r>
        <w:rPr>
          <w:rFonts w:cs="Bookman Old Style" w:ascii="Bookman Old Style" w:hAnsi="Bookman Old Style"/>
          <w:sz w:val="24"/>
          <w:szCs w:val="24"/>
          <w:lang w:val="ru-RU"/>
        </w:rPr>
        <w:t>3,3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562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3.9.2.Обеспеченность населения услугами амбулаторно-клинических учреждений (посещений в смену на тыс. жителей) – </w:t>
      </w:r>
      <w:r>
        <w:rPr>
          <w:rFonts w:cs="Bookman Old Style" w:ascii="Bookman Old Style" w:hAnsi="Bookman Old Style"/>
          <w:sz w:val="24"/>
          <w:szCs w:val="24"/>
          <w:lang w:val="ru-RU"/>
        </w:rPr>
        <w:t>28,7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0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3.9.3.Численность врачей на тысячу человек (ед.) - </w:t>
      </w:r>
      <w:r>
        <w:rPr>
          <w:rFonts w:cs="Bookman Old Style" w:ascii="Bookman Old Style" w:hAnsi="Bookman Old Style"/>
          <w:sz w:val="24"/>
          <w:szCs w:val="24"/>
          <w:lang w:val="en-US"/>
        </w:rPr>
        <w:t>1,6</w:t>
      </w:r>
      <w:r>
        <w:rPr>
          <w:rFonts w:cs="Bookman Old Style" w:ascii="Bookman Old Style" w:hAnsi="Bookman Old Style"/>
          <w:sz w:val="24"/>
          <w:szCs w:val="24"/>
          <w:lang w:val="ru-RU"/>
        </w:rPr>
        <w:t>5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3.9.4.</w:t>
      </w:r>
      <w:r>
        <w:rPr>
          <w:rFonts w:cs="Bookman Old Style" w:ascii="Bookman Old Style" w:hAnsi="Bookman Old Style"/>
          <w:spacing w:val="-6"/>
          <w:sz w:val="24"/>
          <w:szCs w:val="24"/>
        </w:rPr>
        <w:t>Численность среднего медицинского персонала на тысячу человек (ед.) – 5,</w:t>
      </w:r>
      <w:r>
        <w:rPr>
          <w:rFonts w:cs="Bookman Old Style" w:ascii="Bookman Old Style" w:hAnsi="Bookman Old Style"/>
          <w:spacing w:val="-6"/>
          <w:sz w:val="24"/>
          <w:szCs w:val="24"/>
          <w:lang w:val="en-US"/>
        </w:rPr>
        <w:t>7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3.10.Образование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3.10.1.Количество детских садов, школ, учреждений профессионально-технического образования, высших учебных заведений: 2 средних общеобразовательных школы, 1 основная </w:t>
      </w:r>
      <w:r>
        <w:rPr>
          <w:rFonts w:cs="Bookman Old Style" w:ascii="Bookman Old Style" w:hAnsi="Bookman Old Style"/>
          <w:sz w:val="24"/>
          <w:szCs w:val="24"/>
          <w:lang w:val="en-US"/>
        </w:rPr>
        <w:t>общеобразовательн</w:t>
      </w:r>
      <w:r>
        <w:rPr>
          <w:rFonts w:cs="Bookman Old Style" w:ascii="Bookman Old Style" w:hAnsi="Bookman Old Style"/>
          <w:sz w:val="24"/>
          <w:szCs w:val="24"/>
          <w:lang w:val="ru-RU"/>
        </w:rPr>
        <w:t>ая</w:t>
      </w:r>
      <w:r>
        <w:rPr>
          <w:rFonts w:cs="Bookman Old Style" w:ascii="Bookman Old Style" w:hAnsi="Bookman Old Style"/>
          <w:sz w:val="24"/>
          <w:szCs w:val="24"/>
        </w:rPr>
        <w:t xml:space="preserve"> школа, 1 начальная общеобразовательная школа, 2 детских сада.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360" w:leader="none"/>
        </w:tabs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3.11.Рынок жилья: гостиницы, общежития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3.11.1.Перечень основных гостиниц и общежитий – нет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3.11.2.Введено в эксплуатацию жилья за год (тыс.кв.м. общей площади) – </w:t>
      </w:r>
      <w:r>
        <w:rPr>
          <w:rFonts w:cs="Bookman Old Style" w:ascii="Bookman Old Style" w:hAnsi="Bookman Old Style"/>
          <w:sz w:val="24"/>
          <w:szCs w:val="24"/>
          <w:lang w:val="en-US"/>
        </w:rPr>
        <w:t>0,710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/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4. ОБЩИЕ ДАННЫЕ ДЛЯ РАСЧЕТОВ И ОБОСНОВАНИЙ</w:t>
      </w:r>
    </w:p>
    <w:p>
      <w:pPr>
        <w:pStyle w:val="Normal"/>
        <w:jc w:val="both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4.1. </w:t>
      </w:r>
      <w:r>
        <w:rPr>
          <w:rFonts w:cs="Times New Roman"/>
          <w:b/>
          <w:bCs/>
          <w:sz w:val="24"/>
          <w:szCs w:val="24"/>
        </w:rPr>
        <w:t>Порядок исчисления и уплаты земельного налога:</w:t>
      </w:r>
      <w:r>
        <w:rPr>
          <w:rFonts w:cs="Times New Roman"/>
          <w:sz w:val="24"/>
          <w:szCs w:val="24"/>
        </w:rPr>
        <w:t xml:space="preserve"> устанавливается Решениями Советов городских и сельских поселений Ильинского муниципального района.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4.2. </w:t>
      </w:r>
      <w:r>
        <w:rPr>
          <w:rFonts w:cs="Times New Roman"/>
          <w:b/>
          <w:bCs/>
          <w:sz w:val="24"/>
          <w:szCs w:val="24"/>
        </w:rPr>
        <w:t>Порядок определения арендной платы:</w:t>
      </w:r>
      <w:r>
        <w:rPr>
          <w:rFonts w:cs="Times New Roman"/>
          <w:b w:val="false"/>
          <w:bCs w:val="false"/>
          <w:sz w:val="24"/>
          <w:szCs w:val="24"/>
        </w:rPr>
        <w:t xml:space="preserve"> </w:t>
      </w: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 xml:space="preserve">Постановление Правительства Ивановской области №225-п от 25.08.2008г.; </w:t>
      </w:r>
      <w:r>
        <w:rPr>
          <w:rFonts w:cs="Times New Roman"/>
          <w:b w:val="false"/>
          <w:bCs w:val="false"/>
          <w:color w:val="000000"/>
          <w:spacing w:val="-4"/>
          <w:sz w:val="24"/>
          <w:szCs w:val="24"/>
        </w:rPr>
        <w:t>Решение Совета Ильинского муниципального района № 136 от 30.03.2017 г</w:t>
      </w:r>
      <w:r>
        <w:rPr>
          <w:rFonts w:cs="Times New Roman"/>
          <w:b w:val="false"/>
          <w:bCs w:val="false"/>
          <w:color w:val="000000"/>
          <w:sz w:val="24"/>
          <w:szCs w:val="24"/>
        </w:rPr>
        <w:t>.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4.3. </w:t>
      </w:r>
      <w:r>
        <w:rPr>
          <w:rFonts w:cs="Times New Roman"/>
          <w:b/>
          <w:bCs/>
          <w:color w:val="000000"/>
          <w:sz w:val="24"/>
          <w:szCs w:val="24"/>
        </w:rPr>
        <w:t>Порядок предоставления земельных участков для строительства:</w:t>
      </w: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 в соответствии с Земельным Кодексом РФ.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4.4. </w:t>
      </w:r>
      <w:r>
        <w:rPr>
          <w:rFonts w:cs="Times New Roman"/>
          <w:b/>
          <w:bCs/>
          <w:color w:val="000000"/>
          <w:sz w:val="24"/>
          <w:szCs w:val="24"/>
        </w:rPr>
        <w:t>Арендная плата за нежилые помещения (муниципальная собственность):</w:t>
      </w: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 в размере не ниже рыночной величины арендной платы, определенной оценщиком в соответствии с Федеральным законом от 29.07.1998 г. №135-ФЗ «Об оценочной деятельности в Российской Федерации», Решение Совета Ильинского муниципального района 12.10.2012. № 153 «Об определении размера арендной платы за пользование имуществом, находящимся в муниципальной собственности Ильинского муниципального района Ивановской области».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pacing w:val="6"/>
          <w:sz w:val="24"/>
          <w:szCs w:val="24"/>
          <w:u w:val="none"/>
        </w:rPr>
        <w:t>4.5.</w:t>
      </w:r>
      <w:r>
        <w:rPr>
          <w:rFonts w:cs="Times New Roman"/>
          <w:b/>
          <w:bCs/>
          <w:color w:val="000000"/>
          <w:spacing w:val="6"/>
          <w:sz w:val="24"/>
          <w:szCs w:val="24"/>
          <w:u w:val="none"/>
        </w:rPr>
        <w:t>Льготы для</w:t>
      </w: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 xml:space="preserve"> </w:t>
      </w:r>
      <w:r>
        <w:rPr>
          <w:rFonts w:cs="Times New Roman"/>
          <w:b/>
          <w:bCs/>
          <w:color w:val="000000"/>
          <w:spacing w:val="-4"/>
          <w:sz w:val="24"/>
          <w:szCs w:val="24"/>
          <w:u w:val="none"/>
        </w:rPr>
        <w:t>арендаторов земельных участков</w:t>
      </w: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>:</w:t>
      </w:r>
    </w:p>
    <w:p>
      <w:pPr>
        <w:pStyle w:val="Normal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>-  за пользование земельными участками, государственная собственность на которые не разграничена, расположенными на территории Ильинского муниципального района, лицам, указанным в Порядке определения размера арендной платы за предоставленные в аренду без торгов земельные участки, находящиеся в собственности Ивановской области и земельные участки, государственная собственность на которые не разграничена, утвержденном Постановлением Правительства Ивановской области №225-п от 25.08.2008г.;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74" w:leader="none"/>
        </w:tabs>
        <w:ind w:left="0" w:right="-83" w:hanging="0"/>
        <w:jc w:val="both"/>
        <w:rPr>
          <w:rFonts w:ascii="Times New Roman" w:hAnsi="Times New Roman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pacing w:val="-4"/>
          <w:sz w:val="24"/>
          <w:szCs w:val="24"/>
          <w:u w:val="none"/>
        </w:rPr>
        <w:t xml:space="preserve">-  за пользование земельными участками, находящимися в собственности Ильинского муниципального района, лицам, указанным  в Порядке определения размера арендной платы за предоставленные в аренду без торгов земельные участки, находящиеся в собственности Ильинского муниципального района, утвержденного Решением Совета Ильинского муниципального района № 136 от 30.03.2017 г. 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4.</w:t>
      </w:r>
      <w:r>
        <w:rPr>
          <w:rFonts w:cs="Bookman Old Style" w:ascii="Bookman Old Style" w:hAnsi="Bookman Old Style"/>
          <w:b/>
          <w:bCs/>
          <w:sz w:val="24"/>
          <w:szCs w:val="24"/>
          <w:lang w:val="en-US"/>
        </w:rPr>
        <w:t>6</w:t>
      </w:r>
      <w:r>
        <w:rPr>
          <w:rFonts w:cs="Bookman Old Style" w:ascii="Bookman Old Style" w:hAnsi="Bookman Old Style"/>
          <w:b/>
          <w:bCs/>
          <w:sz w:val="24"/>
          <w:szCs w:val="24"/>
        </w:rPr>
        <w:t>.Цены на водоснабжение и водоотведение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tbl>
      <w:tblPr>
        <w:tblW w:w="10320" w:type="dxa"/>
        <w:jc w:val="left"/>
        <w:tblInd w:w="-34" w:type="dxa"/>
        <w:tblBorders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-2" w:type="dxa"/>
          <w:bottom w:w="55" w:type="dxa"/>
          <w:right w:w="55" w:type="dxa"/>
        </w:tblCellMar>
      </w:tblPr>
      <w:tblGrid>
        <w:gridCol w:w="7260"/>
        <w:gridCol w:w="1469"/>
        <w:gridCol w:w="1591"/>
      </w:tblGrid>
      <w:tr>
        <w:trPr/>
        <w:tc>
          <w:tcPr>
            <w:tcW w:w="7260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Ильинское городское поселение</w:t>
            </w:r>
          </w:p>
        </w:tc>
        <w:tc>
          <w:tcPr>
            <w:tcW w:w="1469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водоснабжение</w:t>
            </w:r>
          </w:p>
        </w:tc>
        <w:tc>
          <w:tcPr>
            <w:tcW w:w="1591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водоотведение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 xml:space="preserve">МУП «ЖКХ (Ильинское) Ильинского муниципального района </w:t>
            </w:r>
          </w:p>
        </w:tc>
        <w:tc>
          <w:tcPr>
            <w:tcW w:w="146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lang w:val="ru-RU"/>
              </w:rPr>
              <w:t>61,65</w:t>
            </w:r>
          </w:p>
        </w:tc>
        <w:tc>
          <w:tcPr>
            <w:tcW w:w="15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lang w:val="ru-RU"/>
              </w:rPr>
              <w:t>42,35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Аньковское сельское поселение</w:t>
            </w:r>
          </w:p>
        </w:tc>
        <w:tc>
          <w:tcPr>
            <w:tcW w:w="146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МУП РМПО ЖКХ Ильинско</w:t>
            </w:r>
            <w:r>
              <w:rPr>
                <w:lang w:val="ru-RU"/>
              </w:rPr>
              <w:t>го муниципального района</w:t>
            </w:r>
          </w:p>
        </w:tc>
        <w:tc>
          <w:tcPr>
            <w:tcW w:w="146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58,23</w:t>
            </w:r>
          </w:p>
        </w:tc>
        <w:tc>
          <w:tcPr>
            <w:tcW w:w="15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41,37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Ивашевское сельское поселение</w:t>
            </w:r>
          </w:p>
        </w:tc>
        <w:tc>
          <w:tcPr>
            <w:tcW w:w="146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МУП РМПО ЖКХ Ильинско</w:t>
            </w:r>
            <w:r>
              <w:rPr>
                <w:lang w:val="ru-RU"/>
              </w:rPr>
              <w:t>го муниципального района</w:t>
            </w:r>
          </w:p>
        </w:tc>
        <w:tc>
          <w:tcPr>
            <w:tcW w:w="146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61,20</w:t>
            </w:r>
          </w:p>
        </w:tc>
        <w:tc>
          <w:tcPr>
            <w:tcW w:w="15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Исаевское сельское поселение</w:t>
            </w:r>
          </w:p>
        </w:tc>
        <w:tc>
          <w:tcPr>
            <w:tcW w:w="146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МУП РМПО ЖКХ Ильинско</w:t>
            </w:r>
            <w:r>
              <w:rPr>
                <w:lang w:val="ru-RU"/>
              </w:rPr>
              <w:t>го муниципального района</w:t>
            </w:r>
          </w:p>
        </w:tc>
        <w:tc>
          <w:tcPr>
            <w:tcW w:w="146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48,61</w:t>
            </w:r>
          </w:p>
        </w:tc>
        <w:tc>
          <w:tcPr>
            <w:tcW w:w="15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/>
                <w:bCs/>
              </w:rPr>
              <w:t>Щенниковское сельское поселение</w:t>
            </w:r>
          </w:p>
        </w:tc>
        <w:tc>
          <w:tcPr>
            <w:tcW w:w="146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>
                <w:b w:val="false"/>
                <w:bCs w:val="false"/>
              </w:rPr>
              <w:t>МУП РМПО ЖКХ Ильинское</w:t>
            </w:r>
          </w:p>
        </w:tc>
        <w:tc>
          <w:tcPr>
            <w:tcW w:w="146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  <w:t>40,03</w:t>
            </w:r>
          </w:p>
        </w:tc>
        <w:tc>
          <w:tcPr>
            <w:tcW w:w="159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FFFFFF" w:val="clear"/>
            <w:tcMar>
              <w:left w:w="-2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</w:tbl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69" w:leader="none"/>
        </w:tabs>
        <w:ind w:left="0"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88" w:leader="none"/>
        </w:tabs>
        <w:ind w:left="0" w:right="-83" w:hanging="0"/>
        <w:jc w:val="both"/>
        <w:rPr>
          <w:rFonts w:ascii="Bookman Old Style" w:hAnsi="Bookman Old Style" w:cs="Bookman Old Style"/>
          <w:color w:val="800000"/>
          <w:spacing w:val="-6"/>
          <w:sz w:val="24"/>
          <w:szCs w:val="24"/>
        </w:rPr>
      </w:pPr>
      <w:r>
        <w:rPr>
          <w:rFonts w:cs="Bookman Old Style" w:ascii="Bookman Old Style" w:hAnsi="Bookman Old Style"/>
          <w:color w:val="800000"/>
          <w:spacing w:val="-6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5. ИНВЕСТИЦИОННАЯ ПОЛИТИКА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5.1.Инвестиции в основной капитал за счет всех источников финансирования, всего (тыс.руб.) –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37500,0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5.1.1.</w:t>
      </w:r>
      <w:r>
        <w:rPr>
          <w:rFonts w:cs="Bookman Old Style" w:ascii="Bookman Old Style" w:hAnsi="Bookman Old Style"/>
          <w:spacing w:val="-6"/>
          <w:sz w:val="24"/>
          <w:szCs w:val="24"/>
        </w:rPr>
        <w:t>Инвестиции по крупным и средним предприятиям и организациям (тыс.руб.) – 25506,0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5.1.4.Инвестиции в основной капитал по видам экономической деятельности (тыс.руб.): 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Сельское хозяйство, охота и лесное хозяйство – 12000,0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Обрабатывающие производства – 7644,0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Государственное управление и обеспечение военной безопасности, обязательное социальное обеспечение – 10321,0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Образование – 2240,0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Занятость населения – 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Здравоохранение и предоставление социальных услуг – 2927,0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5.2.Инвестиции в промышленность</w:t>
      </w:r>
      <w:r>
        <w:rPr>
          <w:rFonts w:cs="Bookman Old Style" w:ascii="Bookman Old Style" w:hAnsi="Bookman Old Style"/>
          <w:sz w:val="24"/>
          <w:szCs w:val="24"/>
        </w:rPr>
        <w:t xml:space="preserve"> (тыс. руб.) –7644,0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pacing w:val="-6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5.3.Инвестиции в основной капитал крупных и средних предприятий и организаций по источникам финансирования 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5.3.1.Собственные средства, всего (тыс.руб.) – 9658,0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в т.ч. прибыль, остающаяся в распоряжении организаций (тыс. руб.) - 18084,0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5.3.2.Привлеченные средства, всего (тыс.руб.) – 15848,0 в т.ч.: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5.3.2.1.Кредиты банков (тыс.руб.) – 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5.3.2.2. Заемные средства других организаций – 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5.3.2.3.Бюджетные средства, всего (тыс.руб.) – 15104,0 из них: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Федеральный бюджет (тыс.руб.) – 335,0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Бюджет субъекта Российской Федерации и местный бюджет (тыс.руб.)</w:t>
      </w:r>
      <w:r>
        <w:rPr>
          <w:rFonts w:cs="Bookman Old Style" w:ascii="Bookman Old Style" w:hAnsi="Bookman Old Style"/>
          <w:sz w:val="24"/>
          <w:szCs w:val="24"/>
        </w:rPr>
        <w:t xml:space="preserve"> – 14761,0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Прочие (тыс.руб.) – 290,0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418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pacing w:val="2"/>
          <w:sz w:val="24"/>
          <w:szCs w:val="24"/>
        </w:rPr>
        <w:t xml:space="preserve">5.4.Прирост объема инвестиций в основной капитал из всех источников финансирования (%) </w:t>
      </w:r>
      <w:r>
        <w:rPr>
          <w:rFonts w:cs="Bookman Old Style" w:ascii="Bookman Old Style" w:hAnsi="Bookman Old Style"/>
          <w:spacing w:val="2"/>
          <w:sz w:val="24"/>
          <w:szCs w:val="24"/>
        </w:rPr>
        <w:t>– 51,6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93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5.5.Доля инвестиций из собственных средств в основной капитал (%) </w:t>
      </w:r>
      <w:r>
        <w:rPr>
          <w:rFonts w:cs="Bookman Old Style" w:ascii="Bookman Old Style" w:hAnsi="Bookman Old Style"/>
          <w:sz w:val="24"/>
          <w:szCs w:val="24"/>
        </w:rPr>
        <w:t>– 37,9</w:t>
      </w:r>
    </w:p>
    <w:p>
      <w:pPr>
        <w:pStyle w:val="Normal"/>
        <w:pBdr>
          <w:left w:val="single" w:sz="4" w:space="1" w:color="00000A"/>
        </w:pBdr>
        <w:shd w:val="clear" w:fill="FFFFFF"/>
        <w:tabs>
          <w:tab w:val="left" w:pos="293" w:leader="none"/>
        </w:tabs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5.6.Доля инвестиций производственного назначения (%)</w:t>
      </w:r>
      <w:r>
        <w:rPr>
          <w:rFonts w:cs="Bookman Old Style" w:ascii="Bookman Old Style" w:hAnsi="Bookman Old Style"/>
          <w:sz w:val="24"/>
          <w:szCs w:val="24"/>
        </w:rPr>
        <w:t xml:space="preserve"> – н/д.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5.7.Приоритетные направления инвестиционной политики</w:t>
      </w:r>
      <w:r>
        <w:rPr>
          <w:rFonts w:cs="Bookman Old Style" w:ascii="Bookman Old Style" w:hAnsi="Bookman Old Style"/>
          <w:sz w:val="24"/>
          <w:szCs w:val="24"/>
        </w:rPr>
        <w:t xml:space="preserve"> – сельское хозяйство, газификация, образование, промышленность, здравоохранение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/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6. НОРМАТИВНЫЕ И ПРАВОВЫЕ АКТЫ, РАЗРАБОТАННЫЕ В МО, В ОБЛАСТИ ПОДДЕРЖКИ И РАЗВИТИЯ ИНВЕСТИЦИОННОЙ ДЕЯТЕЛЬНОСТИ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overflowPunct w:val="false"/>
        <w:bidi w:val="0"/>
        <w:ind w:left="0" w:right="-57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</w:r>
    </w:p>
    <w:p>
      <w:pPr>
        <w:pStyle w:val="Normal"/>
        <w:pBdr>
          <w:left w:val="single" w:sz="4" w:space="1" w:color="00000A"/>
        </w:pBdr>
        <w:shd w:val="clear" w:fill="FFFFFF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sz w:val="24"/>
          <w:szCs w:val="24"/>
        </w:rPr>
        <w:t>Решение Совета Ильинского муниципального района от 16.06.2016 N 90 "Об утверждении Положения "О муниципальной поддержке инвестиционной деятельности на территории Ильинского муниципального района"</w:t>
      </w:r>
    </w:p>
    <w:p>
      <w:pPr>
        <w:pStyle w:val="Normal"/>
        <w:pBdr>
          <w:left w:val="single" w:sz="4" w:space="1" w:color="00000A"/>
        </w:pBdr>
        <w:shd w:val="clear" w:fill="FFFFFF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  </w:t>
      </w:r>
      <w:r>
        <w:rPr>
          <w:rFonts w:cs="Bookman Old Style" w:ascii="Bookman Old Style" w:hAnsi="Bookman Old Style"/>
          <w:sz w:val="24"/>
          <w:szCs w:val="24"/>
        </w:rPr>
        <w:t>Постановление главы Ильинского муниципального района от 30.04.2009 г. №159 «Об утверждении порядка рассмотрения инвестиционных проектов»;</w:t>
      </w:r>
    </w:p>
    <w:p>
      <w:pPr>
        <w:pStyle w:val="Normal"/>
        <w:pBdr>
          <w:left w:val="single" w:sz="4" w:space="1" w:color="00000A"/>
        </w:pBdr>
        <w:shd w:val="clear" w:fill="FFFFFF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sz w:val="24"/>
          <w:szCs w:val="24"/>
        </w:rPr>
        <w:t>Распоряжение главы администрации Ильинского муниципального района от 14.06.2018 г. №308-р «О комиссии по содействию инвестиционной деятельности на территории Ильинского муниципального района».</w:t>
      </w:r>
    </w:p>
    <w:p>
      <w:pPr>
        <w:pStyle w:val="Normal"/>
        <w:jc w:val="both"/>
        <w:rPr>
          <w:b w:val="false"/>
          <w:b w:val="false"/>
          <w:bCs w:val="false"/>
          <w:sz w:val="24"/>
          <w:szCs w:val="24"/>
        </w:rPr>
      </w:pPr>
      <w:r>
        <w:rPr>
          <w:rFonts w:eastAsia="Times New Roman" w:cs="Times New Roman"/>
          <w:b w:val="false"/>
          <w:bCs w:val="false"/>
          <w:sz w:val="24"/>
          <w:szCs w:val="24"/>
          <w:lang w:eastAsia="ru-RU"/>
        </w:rPr>
        <w:t xml:space="preserve">   </w:t>
      </w:r>
      <w:r>
        <w:rPr>
          <w:rFonts w:eastAsia="Times New Roman" w:cs="Times New Roman"/>
          <w:b w:val="false"/>
          <w:bCs w:val="false"/>
          <w:sz w:val="24"/>
          <w:szCs w:val="24"/>
          <w:lang w:val="ru-RU" w:eastAsia="ru-RU"/>
        </w:rPr>
        <w:t>Постановление администрации Ильинского муниципального района от 14.10.2020г. № 257 «</w:t>
      </w:r>
      <w:r>
        <w:rPr>
          <w:rFonts w:eastAsia="Times New Roman" w:cs="Times New Roman"/>
          <w:b w:val="false"/>
          <w:bCs w:val="false"/>
          <w:sz w:val="24"/>
          <w:szCs w:val="24"/>
          <w:lang w:eastAsia="ru-RU"/>
        </w:rPr>
        <w:t xml:space="preserve">О создании  штаба </w:t>
      </w:r>
      <w:r>
        <w:rPr>
          <w:rFonts w:eastAsia="Times New Roman" w:cs="Times New Roman" w:ascii="Bookman Old Style" w:hAnsi="Bookman Old Style"/>
          <w:b w:val="false"/>
          <w:bCs w:val="false"/>
          <w:sz w:val="24"/>
          <w:szCs w:val="24"/>
          <w:lang w:eastAsia="ru-RU"/>
        </w:rPr>
        <w:t xml:space="preserve">по улучшению инвестиционного климата на территории </w:t>
      </w:r>
      <w:r>
        <w:rPr>
          <w:rFonts w:eastAsia="Times New Roman" w:cs="Times New Roman" w:ascii="Bookman Old Style" w:hAnsi="Bookman Old Style"/>
          <w:b w:val="false"/>
          <w:bCs w:val="false"/>
          <w:i w:val="false"/>
          <w:iCs w:val="false"/>
          <w:sz w:val="24"/>
          <w:szCs w:val="24"/>
          <w:lang w:eastAsia="ru-RU"/>
        </w:rPr>
        <w:t>Ильинского муниципального района</w:t>
      </w:r>
      <w:r>
        <w:rPr>
          <w:rFonts w:eastAsia="Times New Roman" w:cs="Times New Roman" w:ascii="Bookman Old Style" w:hAnsi="Bookman Old Style"/>
          <w:b w:val="false"/>
          <w:bCs w:val="false"/>
          <w:sz w:val="24"/>
          <w:szCs w:val="24"/>
          <w:lang w:eastAsia="ru-RU"/>
        </w:rPr>
        <w:t xml:space="preserve"> Ивановской области»</w:t>
      </w:r>
    </w:p>
    <w:p>
      <w:pPr>
        <w:pStyle w:val="Normal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  </w:t>
      </w:r>
      <w:r>
        <w:rPr>
          <w:b w:val="false"/>
          <w:bCs w:val="false"/>
          <w:sz w:val="24"/>
          <w:szCs w:val="24"/>
        </w:rPr>
        <w:t xml:space="preserve">Распоряжение администрации Ильинского муниципального района от 16.12.2020г. № 549-р «Об утверждении плана мероприятий по созданию рабочих мест и развитию предпринимательской инициативы </w:t>
      </w:r>
      <w:r>
        <w:rPr>
          <w:rFonts w:eastAsia="Times New Roman" w:cs="Times New Roman" w:ascii="Bookman Old Style" w:hAnsi="Bookman Old Style"/>
          <w:b w:val="false"/>
          <w:bCs w:val="false"/>
          <w:sz w:val="24"/>
          <w:szCs w:val="24"/>
          <w:lang w:eastAsia="ru-RU"/>
        </w:rPr>
        <w:t>в Ильинском муниципальном районе Ивановской области»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b/>
          <w:b/>
          <w:bCs/>
          <w:color w:val="000000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  <w:t>7. ИНВЕСТИЦИОННЫЕ ПРОЕКТЫ, УСПЕШНО РЕАЛИЗУЕМЫЕ НА ТЕРРИТОРИИ МУНИЦИПАЛЬНОГО ОБРАЗОВАНИЯ  – В 201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  <w:lang w:val="en-US"/>
        </w:rPr>
        <w:t>6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  <w:t>-20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  <w:lang w:val="en-US"/>
        </w:rPr>
        <w:t>21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  <w:t xml:space="preserve"> ГОДАХ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Инвестиционный проект «Создание на территории Ивановской области агропромышленного комплекса по развитию мясного крупного рогатого скота высококачественной говядины»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b w:val="false"/>
          <w:b w:val="false"/>
          <w:bCs w:val="false"/>
          <w:color w:val="000000"/>
          <w:sz w:val="24"/>
          <w:szCs w:val="24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2016 году ООО «Ильинское-Агро» было приобретено имущество на 73 млн. руб : зерносклады, мастерская, земельные участки. Были введены в эксплуатацию три артезианских скважины в д. Нажерово и в д. Астафьево, для содержания животных. Было закуплено животных более чем на 7 млн. руб., куплен зерноуборочный комбайн «Полесье»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113" w:firstLine="227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>В 2017 году преобретались: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Жатка РСМ-081.27, Жатка роторная ЖР-4000, мобильная сушилка AGRIMEC, Комбайн зерноуборочный самоходный РСМ-152 "ACROS Plus", Очиститель вороха самопередвижной ОВС25, Погрузчик фронтальный Т-229 MF, Упаковщик рулонов SW 120.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113" w:firstLine="227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В 2018 году: 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>Трактор Т — 150,  рулоновоз — ПТР-109, прессподборщик — Волагре, и Экструдер для зерна, что в настоящее время является единственным в районе.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83" w:hanging="0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В 2018 году объем инвестиций в развитие предприятия по производству высококачественной говядины – ООО «Ильинское-Агро» составил – 18,0 млн.руб. В 2019 — 16,4 млн.руб. : </w:t>
      </w:r>
      <w:r>
        <w:rPr>
          <w:rFonts w:eastAsia="SimSun" w:cs="Times New Roman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>начато строительство четырёх силосных траншей в общей сложности на 6 тыс. тонн.</w:t>
      </w:r>
      <w:r>
        <w:rPr>
          <w:rFonts w:eastAsia="Times New Roman CYR" w:cs="Times New Roman CYR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>,</w:t>
      </w:r>
      <w:r>
        <w:rPr>
          <w:rFonts w:eastAsia="SimSun" w:cs="Times New Roman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 xml:space="preserve"> установлен и введен в эксплуатацию кормовой двухсторонний стол длиной 300м.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83" w:hanging="0"/>
        <w:jc w:val="both"/>
        <w:rPr/>
      </w:pPr>
      <w:r>
        <w:rPr>
          <w:rFonts w:eastAsia="SimSun" w:cs="Times New Roman"/>
          <w:b w:val="false"/>
          <w:bCs w:val="false"/>
          <w:color w:val="000000"/>
          <w:sz w:val="24"/>
          <w:szCs w:val="24"/>
          <w:shd w:fill="FFFFFF" w:val="clear"/>
          <w:lang w:val="ru-RU" w:eastAsia="zh-CN"/>
        </w:rPr>
        <w:t>С начала реализации проекта сумма инвестиций составила 269 млн.руб., что составляет 82% от заявленного плана 327 млн.руб. Были построены кормовые столы протяженностью около 1200 пог.м., помещения и сооружения для содержания животных, приобретено более 100 единиц сельскохозяйственной техники и прицепного оборудования, приобретены земли сельскохозяйственного назначения более 5500га.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83" w:hanging="0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 </w:t>
      </w:r>
      <w:r>
        <w:rPr>
          <w:rFonts w:cs="Bookman Old Style"/>
          <w:b/>
          <w:bCs/>
          <w:color w:val="000000"/>
          <w:sz w:val="24"/>
          <w:szCs w:val="24"/>
        </w:rPr>
        <w:t>Инвестиционный проект «Переоборудование и модернизация технической оснащенности в ЗАО «Гарское»</w:t>
      </w:r>
    </w:p>
    <w:p>
      <w:pPr>
        <w:pStyle w:val="Normal"/>
        <w:widowControl w:val="false"/>
        <w:pBdr>
          <w:left w:val="single" w:sz="4" w:space="1" w:color="00000A"/>
        </w:pBdr>
        <w:shd w:val="clear" w:fill="FFFFFF"/>
        <w:suppressAutoHyphens w:val="false"/>
        <w:bidi w:val="0"/>
        <w:ind w:left="0" w:right="-113" w:firstLine="227"/>
        <w:jc w:val="both"/>
        <w:rPr/>
      </w:pP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В 2016 году </w:t>
      </w: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  <w:lang w:val="ru-RU"/>
        </w:rPr>
        <w:t>в ЗАО «Гарское»</w:t>
      </w: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 приобретено сушильное оборудование, автомат по розливу молока, который установлен в торговой сети «Лента» г. Иваново и закуплен фургон для доставки молока к автоматам, установлено оборудование для производства творога. Приобретен опрыскиватель и грабли.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 </w:t>
      </w:r>
      <w:r>
        <w:rPr>
          <w:rFonts w:cs="Times New Roman CYR"/>
          <w:b w:val="false"/>
          <w:bCs w:val="false"/>
          <w:color w:val="000000"/>
          <w:sz w:val="24"/>
          <w:szCs w:val="24"/>
          <w:highlight w:val="white"/>
        </w:rPr>
        <w:t xml:space="preserve">В 2017 году хозяйством приобретен силосоуборочный комбайн с зерновой приставкой, был куплен почти новый трактор МТЗ-80. 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/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>В 2018 году в хозяйстве производилась покупка техники в кредит: сеялка СЗУ-6, 3 трактора: ХТЗ-150к, МТЗ-82, МТЗ-1221, миксер — агросервис, охладитель молока ОМЗТ-7000, прицеп ПС-45. Объем инвеститиций составил 30 млн. руб.</w:t>
      </w:r>
    </w:p>
    <w:p>
      <w:pPr>
        <w:pStyle w:val="Style18"/>
        <w:pBdr>
          <w:left w:val="single" w:sz="4" w:space="1" w:color="00000A"/>
        </w:pBdr>
        <w:shd w:val="clear" w:fill="FFFFFF"/>
        <w:spacing w:lineRule="auto" w:line="276" w:before="0" w:after="200"/>
        <w:ind w:left="0" w:right="0" w:hanging="0"/>
        <w:jc w:val="both"/>
        <w:rPr/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 xml:space="preserve"> 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>В 2019 году   закуплен Посевной Комплекс, два культиватора, жатка для уборки кормовых культур и другая техника, в целом на 26,6 млн. руб.</w:t>
      </w:r>
    </w:p>
    <w:p>
      <w:pPr>
        <w:pStyle w:val="Style18"/>
        <w:pBdr>
          <w:left w:val="single" w:sz="4" w:space="1" w:color="00000A"/>
        </w:pBdr>
        <w:shd w:val="clear" w:fill="FFFFFF"/>
        <w:spacing w:lineRule="auto" w:line="276" w:before="0" w:after="200"/>
        <w:ind w:left="0" w:right="0" w:hanging="0"/>
        <w:jc w:val="both"/>
        <w:rPr/>
      </w:pP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 xml:space="preserve">В 2020 году  хозяйством приобретены в лизинг 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  <w:lang w:val="ru-RU"/>
        </w:rPr>
        <w:t>Трактор «Кировец», Комбайн кормоуборочный,  Жатка для уборки трав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 xml:space="preserve"> и другая техника,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800000"/>
          <w:sz w:val="24"/>
          <w:szCs w:val="24"/>
          <w:highlight w:val="white"/>
          <w:shd w:fill="FFFFFF" w:val="clear"/>
        </w:rPr>
        <w:t xml:space="preserve"> 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</w:rPr>
        <w:t xml:space="preserve">в целом на 25,3 млн. руб., в 2021 году приобретен в лизинг трактор МТЗ-82,  </w:t>
      </w:r>
      <w:r>
        <w:rPr>
          <w:rFonts w:eastAsia="Times New Roman CYR" w:cs="Times New Roman CYR" w:ascii="Times New Roman CYR" w:hAnsi="Times New Roman CYR"/>
          <w:b w:val="false"/>
          <w:bCs w:val="false"/>
          <w:color w:val="000000"/>
          <w:sz w:val="24"/>
          <w:szCs w:val="24"/>
          <w:highlight w:val="white"/>
          <w:shd w:fill="FFFFFF" w:val="clear"/>
          <w:lang w:val="ru-RU"/>
        </w:rPr>
        <w:t>построен зерновой склад.</w:t>
      </w:r>
    </w:p>
    <w:p>
      <w:pPr>
        <w:pStyle w:val="Normal"/>
        <w:pBdr>
          <w:left w:val="single" w:sz="4" w:space="1" w:color="00000A"/>
        </w:pBdr>
        <w:shd w:val="clear" w:fill="FFFFFF"/>
        <w:spacing w:lineRule="auto" w:line="276" w:before="0" w:after="200"/>
        <w:ind w:left="0" w:right="-83" w:firstLine="708"/>
        <w:jc w:val="both"/>
        <w:rPr/>
      </w:pP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 xml:space="preserve">На ОАО 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«</w:t>
      </w: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Аньковское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» инвестирование  активно направлено на   увеличение  и модернизацию производственных площадей, в 2018г. на эти цели потрачено 7,8 млн. руб. , в 2019 г. 5 млн. руб., в 2020 году- 6,3 млн.руб.</w:t>
      </w:r>
    </w:p>
    <w:p>
      <w:pPr>
        <w:pStyle w:val="Normal"/>
        <w:pBdr>
          <w:left w:val="single" w:sz="4" w:space="1" w:color="00000A"/>
        </w:pBdr>
        <w:shd w:val="clear" w:fill="FFFFFF"/>
        <w:spacing w:lineRule="auto" w:line="240" w:before="0" w:after="200"/>
        <w:ind w:left="0" w:right="0" w:firstLine="708"/>
        <w:jc w:val="both"/>
        <w:rPr>
          <w:rFonts w:ascii="Times New Roman" w:hAnsi="Times New Roman" w:cs="Times New Roman"/>
          <w:b w:val="false"/>
          <w:b w:val="false"/>
          <w:bCs w:val="false"/>
          <w:color w:val="000000"/>
          <w:sz w:val="28"/>
          <w:szCs w:val="28"/>
        </w:rPr>
      </w:pP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 xml:space="preserve"> 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 xml:space="preserve">В 2019 г. за счет средств областного и местного бюджетов произведена реконструкция участка  автодороги от Монастыря Сошествия Креста Животворящего до границы Ильинского муниципального района, протяженностью 0,739 км на сумму порядка 26,0 млн. рублей. </w:t>
      </w:r>
    </w:p>
    <w:p>
      <w:pPr>
        <w:pStyle w:val="Normal"/>
        <w:pBdr>
          <w:left w:val="single" w:sz="4" w:space="1" w:color="00000A"/>
        </w:pBdr>
        <w:shd w:val="clear" w:fill="FFFFFF"/>
        <w:spacing w:lineRule="auto" w:line="276" w:before="57" w:after="57"/>
        <w:ind w:left="0" w:right="0" w:firstLine="720"/>
        <w:jc w:val="both"/>
        <w:rPr/>
      </w:pPr>
      <w:r>
        <w:rPr>
          <w:rFonts w:eastAsia="Times New Roman CYR" w:cs="Times New Roman CYR" w:ascii="Times New Roman CYR" w:hAnsi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highlight w:val="white"/>
          <w:lang w:val="ru-RU"/>
        </w:rPr>
        <w:t>В соответствии с Программой газификации Ивановской области на 2019-2022 годы на территории Ильинского муниципального района в 2020 году построен распределительный газопровод по с.Нажерово, д.Астафьево, д.Счастливка для газификации жилья и объектов социальной сферы (стоимость работ по строительству составила 14,95 млн. рублей). Также, в 2020 году разработана проектно-сметная документация на строительство распределительного газопровода по д.Зайково, д.Денисово Малое, д.Кузяево (стоимость работ по разработке ПСД составила порядка 0,5 млн. рублей), в 2021 году построен распределительный газопровод по д. Зайково, д. Денисово Малое, д. Кузяево для газификации жилья (стоимость работ по строительству составила 7,71 млн. рублей). В  2022 году планируется завершить  работы по подключению к природному газу домовладений  в указанных населенных пунктах. Так же в 2021 году осуществлена врезка и пуск газа в с. Нажерово, д. Счастливка и д. Астафьево.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center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 </w:t>
      </w:r>
      <w:r>
        <w:rPr>
          <w:rFonts w:cs="Bookman Old Style" w:ascii="Bookman Old Style" w:hAnsi="Bookman Old Style"/>
          <w:b/>
          <w:bCs/>
          <w:sz w:val="28"/>
          <w:szCs w:val="28"/>
        </w:rPr>
        <w:t>Достопримечательности Ильинского муниципального района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jc w:val="both"/>
        <w:rPr/>
      </w:pPr>
      <w: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-4445</wp:posOffset>
            </wp:positionH>
            <wp:positionV relativeFrom="paragraph">
              <wp:posOffset>1271270</wp:posOffset>
            </wp:positionV>
            <wp:extent cx="3832860" cy="2873375"/>
            <wp:effectExtent l="0" t="0" r="0" b="0"/>
            <wp:wrapSquare wrapText="largest"/>
            <wp:docPr id="5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Bookman Old Style"/>
          <w:b w:val="false"/>
          <w:i w:val="false"/>
          <w:caps w:val="false"/>
          <w:smallCaps w:val="false"/>
          <w:color w:val="333333"/>
          <w:spacing w:val="0"/>
          <w:sz w:val="24"/>
          <w:szCs w:val="24"/>
        </w:rPr>
        <w:t xml:space="preserve"> </w:t>
      </w:r>
      <w:r>
        <w:rPr>
          <w:rFonts w:cs="Bookman Old Style"/>
          <w:b w:val="false"/>
          <w:i w:val="false"/>
          <w:caps w:val="false"/>
          <w:smallCaps w:val="false"/>
          <w:color w:val="333333"/>
          <w:spacing w:val="0"/>
          <w:sz w:val="24"/>
          <w:szCs w:val="24"/>
        </w:rPr>
        <w:t>... </w:t>
        <w:br/>
        <w:t>  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t> Особой достопримечательностью поселка Ильинское- Хованское является Большой пруд, выкопанный вручную крепостными крестьянами во времена Екатерины Великой. Площадь этого рукотворного озера - более 4-х гектаров.</w:t>
      </w:r>
    </w:p>
    <w:p>
      <w:pPr>
        <w:pStyle w:val="Normal"/>
        <w:jc w:val="both"/>
        <w:rPr/>
      </w:pP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t>   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t>На территори района много ягодных и грибных мест. Есть природные ключи. Здесь охотятся на кабанов, лосей и дичь.    Типичный Ильинский пейзаж - поля и луга, окруженные перелесками. </w:t>
        <w:br/>
        <w:br/>
        <w:t>   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>Краеведческий музей в поселке Ильинское-Хованское в Ивановской области – важнейший культурный центр данного региона. История его началась в 30- годах минувшего века, когда педагог Хлебницкой школы Чернявский со своими учениками начал устраивать школьный краеведческий уголок, в 1944 году признанный государственным научно-просветительным учреждением.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br/>
        <w:br/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>   Краеведческий музей в поселке Ильинское-Хованское разместился в старинном здании XVIII века, это бывшее волостное управление села Ильинского.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br/>
        <w:br/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 xml:space="preserve">   Собрание музейного фонда состоит более чем из 15 тысяч единиц хранения, основой которого являются: коллекция редких книг, предметов быта, вооружения, этнографии, кузнечного промысла, резьбы по дереву, гончарного производства, образцы традиционной для этих мест чернолощеной посуды.    Ильинский краеведческий музей обладает уникальными коллекциями археологии и нумизматики, частью которой являются предметы фатьяновской культуры. </w:t>
      </w:r>
    </w:p>
    <w:p>
      <w:pPr>
        <w:pStyle w:val="Normal"/>
        <w:rPr>
          <w:rFonts w:ascii="Times New Roman" w:hAnsi="Times New Roman" w:cs="Bookman Old Style"/>
          <w:b w:val="false"/>
          <w:b w:val="false"/>
          <w:i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</w:pP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-410210</wp:posOffset>
            </wp:positionH>
            <wp:positionV relativeFrom="paragraph">
              <wp:posOffset>164465</wp:posOffset>
            </wp:positionV>
            <wp:extent cx="3324225" cy="3074670"/>
            <wp:effectExtent l="0" t="0" r="0" b="0"/>
            <wp:wrapSquare wrapText="largest"/>
            <wp:docPr id="6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/>
      </w:pP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 xml:space="preserve">   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 xml:space="preserve">Ильинский дом ремесел гостеприимно открыл свои двери для всех  ильинцев в ноябре 1996 года с целью сохранения и возрождения русских традиционных ремесел, обычаев и обрядов, возвращения к народным истокам.    В настоящее время в нем работает 7 студий, где обучаются 60 человек. За время обучения (3 года) студийцы овладевают навыками  таких ремесел, как «Роспись по дереву», «Живопись и рисунок», «Плетение из бересты», «Плетение из соломки»», «Лоскутная техника», «Вязание спицами и крючком». Студийцы и мастера активно участвуют в районных , областных  и международных конкурсах и фестивалях. В выставочном зале постоянно устраиваются и действуют выставки, которые посещают школьники и их родители, а также жители и гости всего Ильинского района. </w:t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</w:rPr>
        <w:br/>
      </w:r>
      <w:r>
        <w:rPr>
          <w:rFonts w:cs="Bookman Old Style"/>
          <w:b w:val="false"/>
          <w:i w:val="false"/>
          <w:iCs w:val="false"/>
          <w:caps w:val="false"/>
          <w:smallCaps w:val="false"/>
          <w:color w:val="555555"/>
          <w:spacing w:val="0"/>
          <w:sz w:val="24"/>
          <w:szCs w:val="24"/>
        </w:rPr>
        <w:t xml:space="preserve">   </w:t>
      </w:r>
    </w:p>
    <w:p>
      <w:pPr>
        <w:pStyle w:val="Normal"/>
        <w:jc w:val="both"/>
        <w:rPr/>
      </w:pPr>
      <w:r>
        <w:rPr>
          <w:caps w:val="false"/>
          <w:smallCaps w:val="false"/>
          <w:color w:val="333333"/>
          <w:spacing w:val="0"/>
          <w:sz w:val="24"/>
          <w:szCs w:val="24"/>
        </w:rPr>
        <w:t>    </w:t>
      </w:r>
    </w:p>
    <w:p>
      <w:pPr>
        <w:pStyle w:val="Normal"/>
        <w:jc w:val="both"/>
        <w:rPr/>
      </w:pPr>
      <w:r>
        <w:rPr>
          <w:caps w:val="false"/>
          <w:smallCaps w:val="false"/>
          <w:color w:val="333333"/>
          <w:spacing w:val="0"/>
          <w:sz w:val="24"/>
          <w:szCs w:val="24"/>
        </w:rPr>
        <w:t xml:space="preserve"> </w:t>
      </w:r>
      <w:r>
        <w:rPr>
          <w:b w:val="false"/>
          <w:caps w:val="false"/>
          <w:smallCaps w:val="false"/>
          <w:color w:val="333333"/>
          <w:spacing w:val="0"/>
          <w:sz w:val="24"/>
          <w:szCs w:val="24"/>
        </w:rPr>
        <w:t>На территории Ильинского района проживают два заслуженных работника культуры России (Е.В. Смолин, Л.В. Шилова).</w:t>
      </w:r>
    </w:p>
    <w:p>
      <w:pPr>
        <w:pStyle w:val="Normal"/>
        <w:jc w:val="both"/>
        <w:rPr/>
      </w:pPr>
      <w: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56515</wp:posOffset>
            </wp:positionH>
            <wp:positionV relativeFrom="paragraph">
              <wp:posOffset>400050</wp:posOffset>
            </wp:positionV>
            <wp:extent cx="4191000" cy="2721610"/>
            <wp:effectExtent l="0" t="0" r="0" b="0"/>
            <wp:wrapSquare wrapText="largest"/>
            <wp:docPr id="7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0" t="0" r="0" b="44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48260</wp:posOffset>
            </wp:positionH>
            <wp:positionV relativeFrom="paragraph">
              <wp:posOffset>3756025</wp:posOffset>
            </wp:positionV>
            <wp:extent cx="4237355" cy="2378710"/>
            <wp:effectExtent l="0" t="0" r="0" b="0"/>
            <wp:wrapSquare wrapText="largest"/>
            <wp:docPr id="8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5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false"/>
          <w:caps w:val="false"/>
          <w:smallCaps w:val="false"/>
          <w:color w:val="333333"/>
          <w:spacing w:val="0"/>
          <w:sz w:val="24"/>
          <w:szCs w:val="24"/>
        </w:rPr>
        <w:br/>
      </w:r>
      <w:r>
        <w:rPr>
          <w:b w:val="false"/>
          <w:caps w:val="false"/>
          <w:smallCaps w:val="false"/>
          <w:color w:val="333333"/>
          <w:spacing w:val="0"/>
          <w:sz w:val="24"/>
          <w:szCs w:val="24"/>
        </w:rPr>
        <w:t> </w:t>
        <w:br/>
        <w:t>    В километре от деревни Антушково расположено святое место, куда стремятся паломники со всей страны. Это место Сошествия Креста Животворящего - 11 июня 1423 года. Факт зафиксирован в летописях.         На месте сошествии Креста был построен Храм, разрушенный в 40-е годы прошлого века, а ныне восстановленный и преобразованный в монастырский комплекс. Почти двести лет ведется летопись чудесных исцелений паломников к этому святому месту - ранее обездвиженных, самых разных больных, даже потерявших рассудок.     Сам Крест Животворящий ныне находится в селе Годеново, в 5-ти километрах от места сошествия. Паломники посещают по традиции обе святыни. </w:t>
        <w:br/>
        <w:t>  </w:t>
      </w:r>
    </w:p>
    <w:p>
      <w:pPr>
        <w:pStyle w:val="Normal"/>
        <w:jc w:val="both"/>
        <w:rPr/>
      </w:pPr>
      <w:r>
        <w:rPr>
          <w:b w:val="false"/>
          <w:caps w:val="false"/>
          <w:smallCaps w:val="false"/>
          <w:color w:val="333333"/>
          <w:spacing w:val="0"/>
          <w:sz w:val="24"/>
          <w:szCs w:val="24"/>
        </w:rPr>
        <w:t xml:space="preserve">  </w:t>
      </w:r>
      <w:r>
        <w:rPr>
          <w:b w:val="false"/>
          <w:caps w:val="false"/>
          <w:smallCaps w:val="false"/>
          <w:color w:val="333333"/>
          <w:spacing w:val="0"/>
          <w:sz w:val="24"/>
          <w:szCs w:val="24"/>
        </w:rPr>
        <w:t>Второе святое место - Тихонов колодец вблизи деревни Коварчино. Это купель и ключ в лесном урочище. Целебная сила воды привлекает сюда не только желающих испить ее, но и набрать с собой. В купели в любое время года совершают омовения люди даже преклонного возраста, желающие избавиться от болезней и испытать прилив сил. </w:t>
        <w:br/>
        <w:t>    В районе действуют храмы: два - в п. Ильинское-Хованское, а так же в селах Аньково, Воскресенское, Хлебницы, Назорное, Никольское, деревне Колягино и у Креста Животворящего. Исторический облик сохранили храмовые комплексы в  сёлах Хлебницы и Воскресенское, остальные реставрировались. В 2016 году состоялось освещение Часовня в м. Щекультье, построенной в память о разрушенном храме в честь Казанской иконы Божьей Матери. Осенью 2016  года вышла в свет книга Игумена Гермогена «По святым местам земли Ильинской», в которой собрана история храмов Ильинского района.</w:t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Times New Roman" w:hAnsi="Times New Roman" w:cs="Bookman Old Style"/>
          <w:i w:val="false"/>
          <w:i w:val="false"/>
          <w:iCs w:val="false"/>
          <w:sz w:val="24"/>
          <w:szCs w:val="24"/>
        </w:rPr>
      </w:pPr>
      <w:r>
        <w:rPr>
          <w:rFonts w:cs="Bookman Old Style"/>
          <w:i w:val="false"/>
          <w:iCs w:val="fals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Times New Roman" w:hAnsi="Times New Roman" w:cs="Bookman Old Style"/>
          <w:sz w:val="24"/>
          <w:szCs w:val="24"/>
        </w:rPr>
      </w:pPr>
      <w:r>
        <w:rPr>
          <w:rFonts w:cs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fill="FFFFFF"/>
        <w:ind w:left="0" w:right="-83" w:hanging="0"/>
        <w:jc w:val="both"/>
        <w:rPr>
          <w:rFonts w:ascii="Times New Roman" w:hAnsi="Times New Roman" w:cs="Bookman Old Style"/>
          <w:sz w:val="24"/>
          <w:szCs w:val="24"/>
        </w:rPr>
      </w:pPr>
      <w:r>
        <w:rPr>
          <w:rFonts w:cs="Bookman Old Style"/>
          <w:sz w:val="24"/>
          <w:szCs w:val="24"/>
        </w:rPr>
      </w:r>
      <w:r>
        <w:br w:type="page"/>
      </w:r>
    </w:p>
    <w:p>
      <w:pPr>
        <w:pStyle w:val="Normal"/>
        <w:jc w:val="center"/>
        <w:rPr/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___________________________________</w:t>
      </w:r>
    </w:p>
    <w:tbl>
      <w:tblPr>
        <w:tblW w:w="10065" w:type="dxa"/>
        <w:jc w:val="left"/>
        <w:tblInd w:w="-535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</w:tblPr>
      <w:tblGrid>
        <w:gridCol w:w="7655"/>
        <w:gridCol w:w="2409"/>
      </w:tblGrid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1 357 761,30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промышленности, транспорта и иного назначения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Прямоугольной формы, рельеф - ровный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28,1 га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п. Ильинское-Хованское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Васютинский Сергей Иванович, глава Ильинского муниципального района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 8(49353) 2-12-04, факс 8(49353) 2-15-05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Аэродром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Ближайшая сеть – 500м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2*10 МВт, расстояние до ближайшей сети – 500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400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/>
            </w:pPr>
            <w:r>
              <w:rPr>
                <w:color w:val="000000"/>
                <w:sz w:val="22"/>
                <w:szCs w:val="22"/>
              </w:rPr>
              <w:t>10 000 м</w:t>
            </w:r>
            <w:r>
              <w:rPr>
                <w:color w:val="000000"/>
                <w:sz w:val="22"/>
                <w:szCs w:val="22"/>
                <w:vertAlign w:val="superscript"/>
              </w:rPr>
              <w:t>3</w:t>
            </w:r>
            <w:r>
              <w:rPr>
                <w:color w:val="000000"/>
                <w:sz w:val="22"/>
                <w:szCs w:val="22"/>
              </w:rPr>
              <w:t>/час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- 400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300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Имеются, грунтовая дорога-0 км., асфальтовая -0,4 км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Отсутствуют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 Н.Новгогод 2 км.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- г. Тейково Ивановской области;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45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50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0,5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>
          <w:trHeight w:val="320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100%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30-60 дней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pStyle w:val="Normal"/>
        <w:spacing w:before="280" w:after="280"/>
        <w:rPr>
          <w:color w:val="000000"/>
        </w:rPr>
      </w:pPr>
      <w:r>
        <w:rPr>
          <w:color w:val="000000"/>
        </w:rPr>
      </w:r>
    </w:p>
    <w:p>
      <w:pPr>
        <w:sectPr>
          <w:footerReference w:type="default" r:id="rId17"/>
          <w:type w:val="nextPage"/>
          <w:pgSz w:w="11906" w:h="16838"/>
          <w:pgMar w:left="1110" w:right="567" w:header="0" w:top="420" w:footer="709" w:bottom="851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п. Ильинское-Хованское)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9487535" cy="5363210"/>
            <wp:effectExtent l="0" t="0" r="0" b="0"/>
            <wp:docPr id="9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7535" cy="53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19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п. Ильинское-Хованское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28,1 га</w:t>
      </w:r>
    </w:p>
    <w:p>
      <w:pPr>
        <w:pStyle w:val="Normal"/>
        <w:jc w:val="center"/>
        <w:rPr/>
      </w:pPr>
      <w:r>
        <w:rPr/>
        <w:t>Земли промышленности и транспорта. Текущий владелец – государственная собственность</w:t>
      </w:r>
    </w:p>
    <w:p>
      <w:pPr>
        <w:pStyle w:val="Normal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rPr/>
      </w:pPr>
      <w:r>
        <w:rPr/>
        <w:drawing>
          <wp:inline distT="0" distB="0" distL="0" distR="0">
            <wp:extent cx="6268085" cy="6220460"/>
            <wp:effectExtent l="0" t="0" r="0" b="0"/>
            <wp:docPr id="10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62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FF0000"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-2х10 МВт, расстояние до ближайшей сети – 500 м</w:t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006600"/>
          <w:sz w:val="24"/>
          <w:szCs w:val="24"/>
        </w:rPr>
        <w:t>Водоснабжение</w:t>
      </w:r>
      <w:r>
        <w:rPr>
          <w:b/>
          <w:bCs/>
          <w:sz w:val="24"/>
          <w:szCs w:val="24"/>
        </w:rPr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Ближайшая сеть – 500 м</w:t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663300"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>- Ближайшая сеть – 300 м</w:t>
      </w:r>
    </w:p>
    <w:p>
      <w:pPr>
        <w:pStyle w:val="Normal"/>
        <w:ind w:left="0" w:right="426" w:hanging="0"/>
        <w:jc w:val="both"/>
        <w:rPr/>
      </w:pPr>
      <w:r>
        <w:rPr>
          <w:b/>
          <w:bCs/>
          <w:color w:val="E36C0A"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ab/>
        <w:tab/>
        <w:t>- Мощность – 10000 м</w:t>
      </w:r>
      <w:r>
        <w:rPr>
          <w:i/>
          <w:iCs/>
          <w:sz w:val="24"/>
          <w:szCs w:val="24"/>
          <w:vertAlign w:val="superscript"/>
        </w:rPr>
        <w:t>3</w:t>
      </w:r>
      <w:r>
        <w:rPr>
          <w:i/>
          <w:iCs/>
          <w:sz w:val="24"/>
          <w:szCs w:val="24"/>
        </w:rPr>
        <w:t>/час, ближайшая сеть – 400 м</w:t>
      </w:r>
    </w:p>
    <w:p>
      <w:pPr>
        <w:pStyle w:val="Normal"/>
        <w:ind w:left="0" w:right="285" w:hanging="0"/>
        <w:jc w:val="both"/>
        <w:rPr/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– 400 м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ближайшие ж/д станции: 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г. Тейково (Ивановская обл.)  – 53 км, 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г. Ростов (Ярославская обл.) – 45 км</w:t>
      </w:r>
      <w:r>
        <w:br w:type="page"/>
      </w:r>
    </w:p>
    <w:p>
      <w:pPr>
        <w:pStyle w:val="Normal"/>
        <w:widowControl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="280" w:after="280"/>
        <w:ind w:left="708" w:right="0" w:hanging="0"/>
        <w:rPr/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</w:t>
      </w:r>
    </w:p>
    <w:tbl>
      <w:tblPr>
        <w:tblW w:w="9654" w:type="dxa"/>
        <w:jc w:val="left"/>
        <w:tblInd w:w="-922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</w:tblPr>
      <w:tblGrid>
        <w:gridCol w:w="6110"/>
        <w:gridCol w:w="3543"/>
      </w:tblGrid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Ориентировочная кадастровая стоимость 14 000 000,00 руб.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Территория бывшего крахмального завода, неправильной формы, рельеф - ровный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10,0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Касимова Елена Владимировна – глава Ивашевского  сельского поселения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Тел./факс 8(49353) 2-52-18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Крахмальный завод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Артезианская скважина на территории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Непосредственно рядом с территорией площадки проходит линия ВЛ-10 кВ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8,0 км. (п. Ильинское-Хованское)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сеть- межпоселковый газопровод от газопровода «ГРС Ильинское- с. Аньково» до с. Ивашево, распределительный газопровод по 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централизованная сеть – 8,0 км. (п. Ильинское-Хованское), пруды-отстойники – 0,5 км. севернее площадки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 (грунтовая дорога)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Ростов-Иваново-Н.Новгород 8,0 км.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48 км. – г. Тейково Ивановской области,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58 км.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0,1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выписки(</w:t>
            </w:r>
            <w:r>
              <w:rPr>
                <w:sz w:val="22"/>
                <w:szCs w:val="22"/>
              </w:rPr>
              <w:t xml:space="preserve"> 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</w:tcPr>
          <w:p>
            <w:pPr>
              <w:pStyle w:val="Normal"/>
              <w:spacing w:before="280" w:after="280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Часть земельного участка расположена в водоохраной зоне реки Ухтома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30-90 дней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sectPr>
          <w:footerReference w:type="default" r:id="rId21"/>
          <w:type w:val="nextPage"/>
          <w:pgSz w:w="11906" w:h="16838"/>
          <w:pgMar w:left="1418" w:right="567" w:header="0" w:top="567" w:footer="709" w:bottom="766" w:gutter="0"/>
          <w:pgNumType w:fmt="decimal"/>
          <w:formProt w:val="false"/>
          <w:textDirection w:val="lrTb"/>
          <w:docGrid w:type="default" w:linePitch="360" w:charSpace="2047"/>
        </w:sectPr>
      </w:pP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с. Ивашево)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9087485" cy="5125085"/>
            <wp:effectExtent l="0" t="0" r="0" b="0"/>
            <wp:docPr id="11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7485" cy="512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23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с. Ивашево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10 га</w:t>
      </w:r>
    </w:p>
    <w:p>
      <w:pPr>
        <w:pStyle w:val="Normal"/>
        <w:jc w:val="center"/>
        <w:rPr/>
      </w:pPr>
      <w:r>
        <w:rPr/>
        <w:t>Земли населенных пунктов. Текущий владелец – государственная собственность</w:t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6249035" cy="6210935"/>
            <wp:effectExtent l="0" t="0" r="0" b="0"/>
            <wp:docPr id="12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1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-Непосредственно рядом с площадкой проходит линия</w:t>
      </w:r>
    </w:p>
    <w:p>
      <w:pPr>
        <w:pStyle w:val="Normal"/>
        <w:ind w:left="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ab/>
        <w:tab/>
        <w:tab/>
        <w:tab/>
        <w:tab/>
        <w:t>ВЛ – 10 кВ</w:t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Водоснабжение</w:t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Артезианская скважина на территории площадки</w:t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 xml:space="preserve">- Пруды – отстойники (7,1 га)  в 0,5 км севернее площадки,  </w:t>
      </w:r>
    </w:p>
    <w:p>
      <w:pPr>
        <w:pStyle w:val="Normal"/>
        <w:ind w:left="354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ближайшая централизованная сеть в 8,0 км пос. Ильинское-Хованское</w:t>
      </w:r>
    </w:p>
    <w:p>
      <w:pPr>
        <w:pStyle w:val="Normal"/>
        <w:ind w:left="3544" w:right="140" w:hanging="3544"/>
        <w:jc w:val="both"/>
        <w:rPr/>
      </w:pPr>
      <w:r>
        <w:rPr>
          <w:b/>
          <w:bCs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>- Ближайшая сеть: межпоселковый газопровод от газопровода «ГРС Ильинская – с. Аньково» до с. Ивашево, распределительный газопровод по с. Ивашево</w:t>
      </w:r>
    </w:p>
    <w:p>
      <w:pPr>
        <w:pStyle w:val="Normal"/>
        <w:ind w:left="0" w:right="140" w:hanging="0"/>
        <w:jc w:val="both"/>
        <w:rPr/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непосредственно рядом с</w:t>
      </w:r>
    </w:p>
    <w:p>
      <w:pPr>
        <w:pStyle w:val="Normal"/>
        <w:ind w:left="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ab/>
        <w:t>площадкой, ближайшие ж/д станции: г.Тейково (Ивановс-</w:t>
      </w:r>
    </w:p>
    <w:p>
      <w:pPr>
        <w:pStyle w:val="Normal"/>
        <w:ind w:left="0" w:right="140" w:firstLine="708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>кая обл.)  – 48 км, г. Ростов (Ярославская обл.) – 53 км</w:t>
      </w:r>
      <w:r>
        <w:br w:type="page"/>
      </w:r>
    </w:p>
    <w:p>
      <w:pPr>
        <w:pStyle w:val="Normal"/>
        <w:shd w:val="clear" w:fill="FFFFFF"/>
        <w:spacing w:lineRule="exact" w:line="274"/>
        <w:jc w:val="center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ind w:left="0" w:right="142" w:hanging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/>
      </w:pPr>
      <w:r>
        <w:rPr>
          <w:b/>
          <w:bCs/>
          <w:color w:val="000000"/>
        </w:rPr>
        <w:t>Паспорт «коричневой» площадки __</w:t>
      </w:r>
      <w:r>
        <w:rPr>
          <w:b/>
          <w:bCs/>
          <w:color w:val="000000"/>
          <w:u w:val="single"/>
        </w:rPr>
        <w:t>Нежилое здание</w:t>
      </w:r>
      <w:r>
        <w:rPr>
          <w:b/>
          <w:bCs/>
          <w:color w:val="000000"/>
        </w:rPr>
        <w:t>________________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</w:r>
    </w:p>
    <w:tbl>
      <w:tblPr>
        <w:tblW w:w="9923" w:type="dxa"/>
        <w:jc w:val="left"/>
        <w:tblInd w:w="-922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</w:tblPr>
      <w:tblGrid>
        <w:gridCol w:w="6236"/>
        <w:gridCol w:w="3686"/>
      </w:tblGrid>
      <w:tr>
        <w:trPr>
          <w:trHeight w:val="277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ind w:left="0" w:right="708" w:hanging="0"/>
              <w:rPr>
                <w:color w:val="000000"/>
              </w:rPr>
            </w:pPr>
            <w:r>
              <w:rPr>
                <w:color w:val="00000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Класс объекта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ind w:left="0" w:right="708" w:hanging="0"/>
              <w:rPr>
                <w:color w:val="000000"/>
              </w:rPr>
            </w:pPr>
            <w:r>
              <w:rPr>
                <w:color w:val="000000"/>
              </w:rPr>
              <w:t>Нежилое здание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Инвентаризационная оценка (руб.)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65849 (восстановительная стоимость)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34285 (действительная собственность) 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Балансовая стоимость, тыс.руб.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7 185 270,00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Год постройки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1984 г.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Наименование объекта (первичное назначение)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Нежилое здание (детский сад)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Общая площадь (кв.м.)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712,6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Длина (м)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36,03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Ширина (м)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12,90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Высота (м)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2,86- первый этаж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3,00 – второй этаж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Площадь примыкающей площадки, га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0,4484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Земли населенных пунктов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Описание земельного участка (форма, рельеф и т.п.)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ind w:left="118" w:right="0" w:hanging="0"/>
              <w:rPr>
                <w:color w:val="000000"/>
              </w:rPr>
            </w:pPr>
            <w:r>
              <w:rPr>
                <w:color w:val="000000"/>
              </w:rPr>
              <w:t>Прямоугольной формы, рельеф-ровный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Описание местоположения объекта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Адресная часть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Ивановская область, Ильинский район, с. Нажерово, ул. Советская, д.5а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Собственник</w:t>
            </w:r>
            <w:r>
              <w:rPr>
                <w:color w:val="000000"/>
              </w:rPr>
              <w:t xml:space="preserve">(принадлежность объекта)                        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>Администрация Ивашевского сельского поселения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Контактное лицо</w:t>
            </w:r>
            <w:r>
              <w:rPr>
                <w:color w:val="000000"/>
              </w:rPr>
              <w:t xml:space="preserve"> (ФИО)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spacing w:val="-6"/>
              </w:rPr>
            </w:pPr>
            <w:r>
              <w:rPr>
                <w:color w:val="000000"/>
                <w:spacing w:val="-6"/>
              </w:rPr>
              <w:t>Касимова Елена Владимировна – глава администрации Ивашевского сельского поселения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Координаты для контакта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</w:rPr>
              <w:t>Тел./</w:t>
            </w:r>
            <w:r>
              <w:rPr>
                <w:color w:val="000000"/>
                <w:lang w:val="en-US"/>
              </w:rPr>
              <w:t>fax</w:t>
            </w:r>
            <w:r>
              <w:rPr>
                <w:color w:val="000000"/>
              </w:rPr>
              <w:t xml:space="preserve"> (49353) 2</w:t>
            </w:r>
            <w:r>
              <w:rPr>
                <w:b/>
                <w:bCs/>
                <w:color w:val="000000"/>
              </w:rPr>
              <w:t>–</w:t>
            </w:r>
            <w:r>
              <w:rPr>
                <w:color w:val="000000"/>
              </w:rPr>
              <w:t>52–18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Описание конструкций объекта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Этажность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Двухэтажное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Материал стен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Кирпич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Фотографии, схемы, планы помещений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Схема и планы прилагаются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Инженерные коммуникации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Центральный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КТП на территории площадки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Угольная котельная на территории площадки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Газ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spacing w:val="-2"/>
              </w:rPr>
            </w:pPr>
            <w:r>
              <w:rPr>
                <w:spacing w:val="-2"/>
              </w:rPr>
              <w:t xml:space="preserve">Нет, </w:t>
            </w:r>
          </w:p>
          <w:p>
            <w:pPr>
              <w:pStyle w:val="Normal"/>
              <w:rPr>
                <w:spacing w:val="-2"/>
              </w:rPr>
            </w:pP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>Ближайшие сети – межпоселковый газопровод от газопровода «ГРС Ильинская – с. Аньково» до с. Ивашево (18 км)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Центральная (в отстойники)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Подъездные пути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Наличие собственной ж/д ветки (имеется, отсутствует)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Отсутствует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Расстояние до основных автомагистралей (км)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spacing w:val="-6"/>
              </w:rPr>
            </w:pPr>
            <w:r>
              <w:rPr>
                <w:spacing w:val="-6"/>
              </w:rPr>
              <w:t>Автодорога республиканского значения: Ростов – Иваново – Н.Новгород (25 км)</w:t>
            </w:r>
          </w:p>
        </w:tc>
      </w:tr>
      <w:tr>
        <w:trPr>
          <w:trHeight w:val="345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Расстояние до ж/д станции (км)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>Ж/д станции:</w:t>
            </w:r>
          </w:p>
          <w:p>
            <w:pPr>
              <w:pStyle w:val="Normal"/>
              <w:rPr/>
            </w:pPr>
            <w:r>
              <w:rPr/>
              <w:t>г. Тейково (Ивановская область) – 66 км</w:t>
            </w:r>
          </w:p>
          <w:p>
            <w:pPr>
              <w:pStyle w:val="Normal"/>
              <w:rPr/>
            </w:pPr>
            <w:r>
              <w:rPr/>
              <w:t>г. Ростов (Ярославская область) – 70 км</w:t>
            </w:r>
          </w:p>
        </w:tc>
      </w:tr>
      <w:tr>
        <w:trPr>
          <w:trHeight w:val="345" w:hRule="atLeast"/>
        </w:trPr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Расстояние до точки врезки ж/д путей (км)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60 км.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Расстояние до ближайшего жилья (км)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В черте населенного пункта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Возможность расширения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Возможность обособления территории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/>
            </w:pPr>
            <w:r>
              <w:rPr>
                <w:color w:val="000000"/>
                <w:u w:val="single"/>
              </w:rPr>
              <w:t>Юридическая документация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pacing w:val="-2"/>
              </w:rPr>
            </w:pPr>
            <w:r>
              <w:rPr>
                <w:color w:val="000000"/>
                <w:spacing w:val="-2"/>
              </w:rPr>
              <w:t>Свидетельство о государственной регистрации права от 02.07.2014 г. № 37СС 474260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 xml:space="preserve">11344,52 руб. </w:t>
            </w:r>
          </w:p>
          <w:p>
            <w:pPr>
              <w:pStyle w:val="Normal"/>
              <w:rPr/>
            </w:pPr>
            <w:r>
              <w:rPr/>
              <w:t>(распоряжение главы Нажеровского сельсовета №18 от 21.09.1993 г.)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Техническая  инвентаризация  от 24.02.2010 г.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 xml:space="preserve">Обременения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>нет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Малое производственное предприятие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100%</w:t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color w:val="000000"/>
              </w:rPr>
            </w:pPr>
            <w:r>
              <w:rPr>
                <w:color w:val="000000"/>
              </w:rPr>
              <w:t>Дополнительные сведения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spacing w:before="280" w:after="280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Дата подготовки сведений </w:t>
            </w:r>
          </w:p>
        </w:tc>
        <w:tc>
          <w:tcPr>
            <w:tcW w:w="368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FFFFFF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31.01.2019</w:t>
            </w:r>
          </w:p>
        </w:tc>
      </w:tr>
    </w:tbl>
    <w:p>
      <w:pPr>
        <w:pStyle w:val="Normal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Ильинский муниципальный район, с. Нажерово</w:t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(местонахождение объекта – Ильинский район, с. Нажерово, ул. Советская, д.5а </w:t>
      </w:r>
    </w:p>
    <w:p>
      <w:pPr>
        <w:pStyle w:val="Normal"/>
        <w:jc w:val="center"/>
        <w:rPr/>
      </w:pPr>
      <w:r>
        <w:rPr>
          <w:sz w:val="24"/>
          <w:szCs w:val="24"/>
        </w:rPr>
        <w:t>(бывший детский сад)</w:t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6249035" cy="6249035"/>
            <wp:effectExtent l="0" t="0" r="0" b="0"/>
            <wp:docPr id="13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4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ind w:left="-426" w:right="0" w:hanging="0"/>
        <w:jc w:val="center"/>
        <w:rPr/>
      </w:pPr>
      <w:r>
        <w:rPr>
          <w:b/>
          <w:bCs/>
          <w:sz w:val="24"/>
          <w:szCs w:val="24"/>
        </w:rPr>
        <w:t>Поэтажный план здания детского сада</w:t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6096635" cy="3048635"/>
            <wp:effectExtent l="0" t="0" r="0" b="0"/>
            <wp:docPr id="14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jc w:val="center"/>
        <w:rPr/>
      </w:pPr>
      <w:r>
        <w:rPr/>
        <w:drawing>
          <wp:inline distT="0" distB="0" distL="0" distR="0">
            <wp:extent cx="6096635" cy="3239135"/>
            <wp:effectExtent l="0" t="0" r="0" b="0"/>
            <wp:docPr id="15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pStyle w:val="Normal"/>
        <w:widowControl/>
        <w:jc w:val="center"/>
        <w:rPr/>
      </w:pPr>
      <w:r>
        <w:rPr/>
      </w:r>
    </w:p>
    <w:p>
      <w:pPr>
        <w:sectPr>
          <w:footerReference w:type="default" r:id="rId28"/>
          <w:type w:val="nextPage"/>
          <w:pgSz w:w="11906" w:h="16838"/>
          <w:pgMar w:left="1418" w:right="567" w:header="0" w:top="567" w:footer="0" w:bottom="709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widowControl/>
        <w:jc w:val="center"/>
        <w:rPr/>
      </w:pPr>
      <w:r>
        <w:rPr/>
      </w:r>
    </w:p>
    <w:p>
      <w:pPr>
        <w:pStyle w:val="Normal"/>
        <w:jc w:val="center"/>
        <w:rPr/>
      </w:pPr>
      <w:r>
        <w:rPr>
          <w:b/>
          <w:bCs/>
          <w:sz w:val="24"/>
          <w:szCs w:val="24"/>
        </w:rPr>
        <w:t>Фотографические материалы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tbl>
      <w:tblPr>
        <w:tblW w:w="16410" w:type="dxa"/>
        <w:jc w:val="left"/>
        <w:tblInd w:w="3" w:type="dxa"/>
        <w:tblBorders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05"/>
        <w:gridCol w:w="8204"/>
      </w:tblGrid>
      <w:tr>
        <w:trPr/>
        <w:tc>
          <w:tcPr>
            <w:tcW w:w="8205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3371215" cy="2516505"/>
                  <wp:effectExtent l="0" t="0" r="0" b="0"/>
                  <wp:docPr id="16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215" cy="251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передний фасад</w:t>
            </w:r>
          </w:p>
        </w:tc>
        <w:tc>
          <w:tcPr>
            <w:tcW w:w="8204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3385185" cy="2545080"/>
                  <wp:effectExtent l="0" t="0" r="0" b="0"/>
                  <wp:docPr id="17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185" cy="254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задний фасад</w:t>
            </w:r>
          </w:p>
        </w:tc>
      </w:tr>
      <w:tr>
        <w:trPr/>
        <w:tc>
          <w:tcPr>
            <w:tcW w:w="8205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3813810" cy="2860675"/>
                  <wp:effectExtent l="0" t="0" r="0" b="0"/>
                  <wp:docPr id="18" name="Рисунок 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3810" cy="286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(левый)</w:t>
            </w:r>
          </w:p>
        </w:tc>
        <w:tc>
          <w:tcPr>
            <w:tcW w:w="8204" w:type="dxa"/>
            <w:tcBorders/>
            <w:shd w:fill="FFFFFF" w:val="clear"/>
          </w:tcPr>
          <w:p>
            <w:pPr>
              <w:pStyle w:val="Normal"/>
              <w:jc w:val="center"/>
              <w:rPr/>
            </w:pPr>
            <w:r>
              <w:rPr/>
              <w:drawing>
                <wp:inline distT="0" distB="0" distL="0" distR="0">
                  <wp:extent cx="3619500" cy="2708275"/>
                  <wp:effectExtent l="0" t="0" r="0" b="0"/>
                  <wp:docPr id="19" name="Рисунок 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70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(правый)</w:t>
            </w:r>
          </w:p>
        </w:tc>
      </w:tr>
    </w:tbl>
    <w:p>
      <w:pPr>
        <w:sectPr>
          <w:footerReference w:type="default" r:id="rId33"/>
          <w:type w:val="nextPage"/>
          <w:pgSz w:orient="landscape" w:w="16838" w:h="11906"/>
          <w:pgMar w:left="1134" w:right="1134" w:header="0" w:top="1134" w:footer="0" w:bottom="1134" w:gutter="0"/>
          <w:pgNumType w:fmt="decimal"/>
          <w:formProt w:val="false"/>
          <w:textDirection w:val="lrTb"/>
          <w:docGrid w:type="default" w:linePitch="249" w:charSpace="2047"/>
        </w:sectPr>
      </w:pP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10095" w:type="dxa"/>
        <w:jc w:val="left"/>
        <w:tblInd w:w="-975" w:type="dxa"/>
        <w:tblBorders>
          <w:top w:val="thickThinSmallGap" w:sz="12" w:space="0" w:color="C0C0C0"/>
          <w:left w:val="thickThinSmallGap" w:sz="12" w:space="0" w:color="C0C0C0"/>
          <w:bottom w:val="thickThinSmallGap" w:sz="12" w:space="0" w:color="C0C0C0"/>
          <w:insideH w:val="thickThinSmallGap" w:sz="12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6750"/>
        <w:gridCol w:w="3344"/>
      </w:tblGrid>
      <w:tr>
        <w:trPr>
          <w:trHeight w:val="277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1970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Для размещения хлебозавода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1298,5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61,8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22,15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5,85 — цех, 3,75 — основное здание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0,4176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Ивановская область, Ильинский район, п. Ильинское-Хованское, ул. Советская, д.74Б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Потребительское общество «Ильинское»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Богуш Валентина Николаевна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8(49353) 2-11-35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+7-964-495-95-79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Одноэтажное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(ТП —  трансформаторная подстанция 1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x 250 </w:t>
            </w:r>
            <w:r>
              <w:rPr>
                <w:color w:val="000000"/>
                <w:sz w:val="20"/>
                <w:szCs w:val="20"/>
                <w:lang w:val="ru-RU"/>
              </w:rPr>
              <w:t>кВт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)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Газовое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Газовая котельная (мощность 200 кВт)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Центральная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(0,8 км.)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г.Тейково (Ивановская область) — 48 км.</w:t>
            </w:r>
          </w:p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г.Ростов (Ярославская область) — 53 км.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0,05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widowControl w:val="false"/>
              <w:suppressAutoHyphens w:val="false"/>
              <w:bidi w:val="0"/>
              <w:spacing w:before="0" w:after="0"/>
              <w:ind w:left="0" w:right="794" w:hanging="0"/>
              <w:jc w:val="left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Аренда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1075837,50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Техническая инвентаризация от </w:t>
            </w:r>
            <w:r>
              <w:rPr>
                <w:color w:val="FF3333"/>
                <w:sz w:val="20"/>
                <w:szCs w:val="20"/>
              </w:rPr>
              <w:t xml:space="preserve">  </w:t>
            </w:r>
            <w:r>
              <w:rPr>
                <w:color w:val="000000"/>
                <w:sz w:val="20"/>
                <w:szCs w:val="20"/>
              </w:rPr>
              <w:t xml:space="preserve">26.12.2001г. 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Продажа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Требуется капитальный и косметический ремонт</w:t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insideH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3344" w:type="dxa"/>
            <w:tcBorders>
              <w:top w:val="thickThinSmallGap" w:sz="12" w:space="0" w:color="C0C0C0"/>
              <w:left w:val="thickThinSmallGap" w:sz="12" w:space="0" w:color="C0C0C0"/>
              <w:bottom w:val="thickThinSmallGap" w:sz="12" w:space="0" w:color="C0C0C0"/>
              <w:right w:val="thickThinSmallGap" w:sz="12" w:space="0" w:color="C0C0C0"/>
              <w:insideH w:val="thickThinSmallGap" w:sz="12" w:space="0" w:color="C0C0C0"/>
              <w:insideV w:val="thickThinSmallGap" w:sz="12" w:space="0" w:color="C0C0C0"/>
            </w:tcBorders>
            <w:shd w:fill="FFFFFF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31.01.2019г</w:t>
            </w:r>
          </w:p>
        </w:tc>
      </w:tr>
    </w:tbl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-371475</wp:posOffset>
            </wp:positionH>
            <wp:positionV relativeFrom="paragraph">
              <wp:posOffset>144780</wp:posOffset>
            </wp:positionV>
            <wp:extent cx="6966585" cy="4480560"/>
            <wp:effectExtent l="0" t="0" r="0" b="0"/>
            <wp:wrapSquare wrapText="largest"/>
            <wp:docPr id="20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58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96520</wp:posOffset>
            </wp:positionH>
            <wp:positionV relativeFrom="paragraph">
              <wp:posOffset>34290</wp:posOffset>
            </wp:positionV>
            <wp:extent cx="6162675" cy="8336280"/>
            <wp:effectExtent l="0" t="0" r="0" b="0"/>
            <wp:wrapSquare wrapText="largest"/>
            <wp:docPr id="21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br/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227445" cy="4973320"/>
            <wp:effectExtent l="0" t="0" r="0" b="0"/>
            <wp:wrapSquare wrapText="largest"/>
            <wp:docPr id="22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sectPr>
          <w:footerReference w:type="default" r:id="rId37"/>
          <w:type w:val="nextPage"/>
          <w:pgSz w:w="11906" w:h="16838"/>
          <w:pgMar w:left="1110" w:right="567" w:header="0" w:top="420" w:footer="709" w:bottom="851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10797" w:type="dxa"/>
        <w:jc w:val="left"/>
        <w:tblInd w:w="-981" w:type="dxa"/>
        <w:tblBorders>
          <w:top w:val="thickThinLargeGap" w:sz="6" w:space="0" w:color="C0C0C0"/>
          <w:left w:val="thickThinLargeGap" w:sz="6" w:space="0" w:color="C0C0C0"/>
          <w:bottom w:val="thickThinLargeGap" w:sz="6" w:space="0" w:color="C0C0C0"/>
          <w:insideH w:val="thickThinLargeGap" w:sz="6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6630"/>
        <w:gridCol w:w="4166"/>
      </w:tblGrid>
      <w:tr>
        <w:trPr>
          <w:trHeight w:val="277" w:hRule="atLeast"/>
        </w:trPr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/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/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Коровник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1417,2 кв.м., 1799,5 кв.м.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/>
            </w:pPr>
            <w:r>
              <w:rPr>
                <w:color w:val="000000"/>
                <w:sz w:val="20"/>
                <w:szCs w:val="20"/>
              </w:rPr>
              <w:t>Земли сельскохозяйственного назначения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/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1079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Ивановская область, р-н Ильинский, с.Кулачевод. ул.Западная, строение 1, 2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Частная собственность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Алексей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+79852118717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Одноэтажное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1079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Есть возможность подключения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1079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грунтовым покрытием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— 8 км.</w:t>
            </w:r>
          </w:p>
        </w:tc>
      </w:tr>
      <w:tr>
        <w:trPr>
          <w:trHeight w:val="345" w:hRule="atLeast"/>
        </w:trPr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/>
            </w:pPr>
            <w:r>
              <w:rPr>
                <w:color w:val="000000"/>
                <w:sz w:val="20"/>
                <w:szCs w:val="20"/>
              </w:rPr>
              <w:t>г.Тейково (Ивановская область) — 58 км.</w:t>
            </w:r>
          </w:p>
          <w:p>
            <w:pPr>
              <w:pStyle w:val="Normal"/>
              <w:snapToGrid w:val="false"/>
              <w:ind w:left="118" w:right="0" w:hanging="0"/>
              <w:rPr/>
            </w:pPr>
            <w:r>
              <w:rPr>
                <w:color w:val="000000"/>
                <w:sz w:val="20"/>
                <w:szCs w:val="20"/>
              </w:rPr>
              <w:t>г.Ростов (Ярославская область) — 48 км.</w:t>
            </w:r>
          </w:p>
        </w:tc>
      </w:tr>
      <w:tr>
        <w:trPr>
          <w:trHeight w:val="345" w:hRule="atLeast"/>
        </w:trPr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/>
            </w:pPr>
            <w:r>
              <w:rPr>
                <w:color w:val="000000"/>
                <w:sz w:val="20"/>
                <w:szCs w:val="20"/>
              </w:rPr>
              <w:t>0,2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1079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4691952,38 руб., 5957640,64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Покупка, аренда с правом выкупа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100%</w:t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63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416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02.08.2022г.</w:t>
            </w:r>
          </w:p>
        </w:tc>
      </w:tr>
    </w:tbl>
    <w:p>
      <w:pPr>
        <w:pStyle w:val="Normal"/>
        <w:rPr>
          <w:b/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i w:val="false"/>
          <w:i w:val="false"/>
          <w:caps w:val="false"/>
          <w:smallCaps w:val="false"/>
          <w:color w:val="333333"/>
          <w:spacing w:val="0"/>
        </w:rPr>
      </w:pPr>
      <w:r>
        <w:rPr>
          <w:i w:val="false"/>
          <w:caps w:val="false"/>
          <w:smallCaps w:val="false"/>
          <w:color w:val="333333"/>
          <w:spacing w:val="0"/>
        </w:rPr>
      </w:r>
    </w:p>
    <w:p>
      <w:pPr>
        <w:pStyle w:val="Normal"/>
        <w:jc w:val="center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>
          <w:b w:val="false"/>
          <w:b w:val="false"/>
          <w:bCs w:val="false"/>
          <w:i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</w:r>
    </w:p>
    <w:p>
      <w:pPr>
        <w:pStyle w:val="Normal"/>
        <w:jc w:val="center"/>
        <w:rPr/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  <w:t xml:space="preserve">Производственное помещение по адресу: Ильинский р-н, </w:t>
      </w:r>
    </w:p>
    <w:p>
      <w:pPr>
        <w:pStyle w:val="Normal"/>
        <w:jc w:val="center"/>
        <w:rPr/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  <w:t>Исаевское сельское поселение, с. Кулачево</w:t>
      </w:r>
      <w:r>
        <w:rPr>
          <w:b w:val="false"/>
          <w:bCs w:val="false"/>
          <w:sz w:val="28"/>
          <w:szCs w:val="28"/>
          <w:lang w:val="en-US"/>
        </w:rPr>
        <w:t xml:space="preserve"> , </w:t>
      </w:r>
      <w:r>
        <w:rPr>
          <w:b w:val="false"/>
          <w:bCs w:val="false"/>
          <w:sz w:val="28"/>
          <w:szCs w:val="28"/>
          <w:lang w:val="ru-RU"/>
        </w:rPr>
        <w:t>ул.Западная, строение 1</w:t>
      </w:r>
    </w:p>
    <w:p>
      <w:pPr>
        <w:pStyle w:val="Normal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  <w:lang w:val="en-US"/>
        </w:rPr>
      </w:pPr>
      <w:r>
        <w:rPr>
          <w:b w:val="false"/>
          <w:bCs w:val="false"/>
          <w:sz w:val="28"/>
          <w:szCs w:val="28"/>
          <w:lang w:val="en-US"/>
        </w:rPr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352425</wp:posOffset>
            </wp:positionH>
            <wp:positionV relativeFrom="paragraph">
              <wp:posOffset>128270</wp:posOffset>
            </wp:positionV>
            <wp:extent cx="5988050" cy="4142105"/>
            <wp:effectExtent l="0" t="0" r="0" b="0"/>
            <wp:wrapSquare wrapText="largest"/>
            <wp:docPr id="23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0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/>
      </w:pPr>
      <w:r>
        <w:rPr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  <w:t xml:space="preserve">Производственное помещение по адресу: Ильинский р-н, </w:t>
      </w:r>
    </w:p>
    <w:p>
      <w:pPr>
        <w:pStyle w:val="Normal"/>
        <w:jc w:val="center"/>
        <w:rPr/>
      </w:pPr>
      <w:r>
        <w:rPr>
          <w:rFonts w:cs="Times New Roman"/>
          <w:b w:val="false"/>
          <w:bCs w:val="false"/>
          <w:i w:val="false"/>
          <w:caps w:val="false"/>
          <w:smallCaps w:val="false"/>
          <w:color w:val="333333"/>
          <w:spacing w:val="0"/>
          <w:sz w:val="28"/>
          <w:szCs w:val="28"/>
          <w:lang w:val="en-US"/>
        </w:rPr>
        <w:t>Исаевское сельское поселение, с. Кулачево</w:t>
      </w:r>
      <w:r>
        <w:rPr>
          <w:rFonts w:cs="Times New Roman"/>
          <w:b w:val="false"/>
          <w:bCs w:val="false"/>
          <w:sz w:val="28"/>
          <w:szCs w:val="28"/>
          <w:lang w:val="en-US"/>
        </w:rPr>
        <w:t xml:space="preserve"> , </w:t>
      </w:r>
      <w:r>
        <w:rPr>
          <w:rFonts w:cs="Times New Roman"/>
          <w:b w:val="false"/>
          <w:bCs w:val="false"/>
          <w:sz w:val="28"/>
          <w:szCs w:val="28"/>
          <w:lang w:val="ru-RU"/>
        </w:rPr>
        <w:t>ул.Западная, строение 2</w:t>
      </w:r>
    </w:p>
    <w:p>
      <w:pPr>
        <w:pStyle w:val="Normal"/>
        <w:jc w:val="center"/>
        <w:rPr>
          <w:rFonts w:cs="Times New Roman"/>
          <w:b w:val="false"/>
          <w:b w:val="false"/>
          <w:bCs w:val="false"/>
          <w:sz w:val="28"/>
          <w:szCs w:val="28"/>
          <w:lang w:val="ru-RU"/>
        </w:rPr>
      </w:pPr>
      <w:r>
        <w:rPr>
          <w:rFonts w:cs="Times New Roman"/>
          <w:b w:val="false"/>
          <w:bCs w:val="false"/>
          <w:sz w:val="28"/>
          <w:szCs w:val="28"/>
          <w:lang w:val="ru-RU"/>
        </w:rPr>
      </w:r>
    </w:p>
    <w:p>
      <w:pPr>
        <w:pStyle w:val="Normal"/>
        <w:jc w:val="center"/>
        <w:rPr>
          <w:rFonts w:cs="Times New Roman"/>
          <w:b w:val="false"/>
          <w:b w:val="false"/>
          <w:bCs w:val="false"/>
          <w:sz w:val="28"/>
          <w:szCs w:val="28"/>
          <w:lang w:val="ru-RU"/>
        </w:rPr>
      </w:pPr>
      <w:r>
        <w:rPr>
          <w:rFonts w:cs="Times New Roman"/>
          <w:b w:val="false"/>
          <w:bCs w:val="false"/>
          <w:sz w:val="28"/>
          <w:szCs w:val="28"/>
          <w:lang w:val="ru-RU"/>
        </w:rPr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120650</wp:posOffset>
            </wp:positionH>
            <wp:positionV relativeFrom="paragraph">
              <wp:posOffset>97155</wp:posOffset>
            </wp:positionV>
            <wp:extent cx="6120130" cy="4037330"/>
            <wp:effectExtent l="0" t="0" r="0" b="0"/>
            <wp:wrapSquare wrapText="largest"/>
            <wp:docPr id="24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3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cs="Times New Roman"/>
          <w:b w:val="false"/>
          <w:b w:val="false"/>
          <w:bCs w:val="false"/>
          <w:sz w:val="28"/>
          <w:szCs w:val="28"/>
          <w:lang w:val="ru-RU"/>
        </w:rPr>
      </w:pPr>
      <w:r>
        <w:rPr>
          <w:rFonts w:cs="Times New Roman"/>
          <w:b w:val="false"/>
          <w:bCs w:val="false"/>
          <w:sz w:val="28"/>
          <w:szCs w:val="28"/>
          <w:lang w:val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val="en-US"/>
        </w:rPr>
      </w:pPr>
      <w:r>
        <w:rPr>
          <w:rFonts w:cs="Times New Roman"/>
          <w:b/>
          <w:bCs/>
          <w:sz w:val="32"/>
          <w:szCs w:val="32"/>
          <w:lang w:val="en-US"/>
        </w:rPr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096000" cy="4162425"/>
            <wp:effectExtent l="0" t="0" r="0" b="0"/>
            <wp:wrapSquare wrapText="largest"/>
            <wp:docPr id="25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both"/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18415</wp:posOffset>
            </wp:positionH>
            <wp:positionV relativeFrom="paragraph">
              <wp:posOffset>5666740</wp:posOffset>
            </wp:positionV>
            <wp:extent cx="3429000" cy="4162425"/>
            <wp:effectExtent l="0" t="0" r="0" b="0"/>
            <wp:wrapSquare wrapText="largest"/>
            <wp:docPr id="26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3047365</wp:posOffset>
            </wp:positionH>
            <wp:positionV relativeFrom="paragraph">
              <wp:posOffset>10119360</wp:posOffset>
            </wp:positionV>
            <wp:extent cx="3429000" cy="4162425"/>
            <wp:effectExtent l="0" t="0" r="0" b="0"/>
            <wp:wrapSquare wrapText="largest"/>
            <wp:docPr id="27" name="Изображение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18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139700</wp:posOffset>
            </wp:positionH>
            <wp:positionV relativeFrom="paragraph">
              <wp:posOffset>569595</wp:posOffset>
            </wp:positionV>
            <wp:extent cx="6096000" cy="4181475"/>
            <wp:effectExtent l="0" t="0" r="0" b="0"/>
            <wp:wrapNone/>
            <wp:docPr id="28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w:type="default" r:id="rId44"/>
      <w:type w:val="nextPage"/>
      <w:pgSz w:w="11906" w:h="16838"/>
      <w:pgMar w:left="1110" w:right="567" w:header="0" w:top="420" w:footer="709" w:bottom="851" w:gutter="0"/>
      <w:pgNumType w:fmt="decimal"/>
      <w:formProt w:val="false"/>
      <w:textDirection w:val="lrTb"/>
      <w:docGrid w:type="default" w:linePitch="360" w:charSpace="20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Cambria">
    <w:charset w:val="cc"/>
    <w:family w:val="roman"/>
    <w:pitch w:val="variable"/>
  </w:font>
  <w:font w:name="Tahoma">
    <w:charset w:val="cc"/>
    <w:family w:val="roman"/>
    <w:pitch w:val="variable"/>
  </w:font>
  <w:font w:name="Bookman Old Style"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  <w:font w:name="Times New Roman CYR">
    <w:charset w:val="cc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14</w:t>
    </w:r>
    <w:r>
      <w:fldChar w:fldCharType="end"/>
    </w:r>
  </w:p>
  <w:p>
    <w:pPr>
      <w:pStyle w:val="Style23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15</w:t>
    </w:r>
    <w:r>
      <w:fldChar w:fldCharType="end"/>
    </w:r>
  </w:p>
  <w:p>
    <w:pPr>
      <w:pStyle w:val="Style23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19</w:t>
    </w:r>
    <w:r>
      <w:fldChar w:fldCharType="end"/>
    </w:r>
  </w:p>
  <w:p>
    <w:pPr>
      <w:pStyle w:val="Style23"/>
      <w:rPr/>
    </w:pPr>
    <w:r>
      <w:rPr/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20</w:t>
    </w:r>
    <w:r>
      <w:fldChar w:fldCharType="end"/>
    </w:r>
  </w:p>
  <w:p>
    <w:pPr>
      <w:pStyle w:val="Style23"/>
      <w:rPr/>
    </w:pPr>
    <w:r>
      <w:rPr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26</w:t>
    </w:r>
    <w:r>
      <w:fldChar w:fldCharType="end"/>
    </w:r>
  </w:p>
  <w:p>
    <w:pPr>
      <w:pStyle w:val="Style23"/>
      <w:rPr/>
    </w:pPr>
    <w:r>
      <w:rPr/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27</w:t>
    </w:r>
    <w:r>
      <w:fldChar w:fldCharType="end"/>
    </w:r>
  </w:p>
  <w:p>
    <w:pPr>
      <w:pStyle w:val="Style23"/>
      <w:rPr/>
    </w:pPr>
    <w:r>
      <w:rPr/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31</w:t>
    </w:r>
    <w:r>
      <w:fldChar w:fldCharType="end"/>
    </w:r>
  </w:p>
  <w:p>
    <w:pPr>
      <w:pStyle w:val="Style23"/>
      <w:rPr/>
    </w:pPr>
    <w:r>
      <w:rPr/>
    </w:r>
  </w:p>
</w:ftr>
</file>

<file path=word/footer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36</w:t>
    </w:r>
    <w:r>
      <w:fldChar w:fldCharType="end"/>
    </w:r>
  </w:p>
  <w:p>
    <w:pPr>
      <w:pStyle w:val="Style23"/>
      <w:rPr/>
    </w:pPr>
    <w:r>
      <w:rPr/>
    </w:r>
  </w:p>
</w:ftr>
</file>

<file path=word/settings.xml><?xml version="1.0" encoding="utf-8"?>
<w:settings xmlns:w="http://schemas.openxmlformats.org/wordprocessingml/2006/main">
  <w:zoom w:percent="100"/>
  <w:embedSystemFonts/>
  <w:defaultTabStop w:val="708"/>
  <w:autoHyphenation w:val="tru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style w:type="paragraph" w:styleId="Normal">
    <w:name w:val="Normal"/>
    <w:qFormat/>
    <w:pPr>
      <w:widowControl w:val="false"/>
      <w:suppressAutoHyphens w:val="false"/>
      <w:overflowPunct w:val="false"/>
      <w:bidi w:val="0"/>
      <w:jc w:val="left"/>
    </w:pPr>
    <w:rPr>
      <w:rFonts w:ascii="Times New Roman" w:hAnsi="Times New Roman" w:eastAsia="Times New Roman" w:cs="Times New Roman"/>
      <w:color w:val="00000A"/>
      <w:sz w:val="20"/>
      <w:szCs w:val="20"/>
      <w:lang w:val="ru-RU" w:eastAsia="ru-RU" w:bidi="ar-SA"/>
    </w:rPr>
  </w:style>
  <w:style w:type="paragraph" w:styleId="1">
    <w:name w:val="Heading 1"/>
    <w:basedOn w:val="Style17"/>
    <w:qFormat/>
    <w:pPr/>
    <w:rPr/>
  </w:style>
  <w:style w:type="paragraph" w:styleId="2">
    <w:name w:val="Heading 2"/>
    <w:basedOn w:val="Normal"/>
    <w:qFormat/>
    <w:pPr>
      <w:keepNext/>
      <w:widowControl/>
      <w:spacing w:lineRule="auto" w:line="276" w:before="240" w:after="60"/>
      <w:outlineLvl w:val="1"/>
    </w:pPr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DefaultParagraphFont">
    <w:name w:val="Default Paragraph Font"/>
    <w:qFormat/>
    <w:rPr/>
  </w:style>
  <w:style w:type="character" w:styleId="21">
    <w:name w:val="Заголовок 2 Знак"/>
    <w:basedOn w:val="DefaultParagraphFont"/>
    <w:qFormat/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Style12">
    <w:name w:val="Интернет-ссылка"/>
    <w:basedOn w:val="DefaultParagraphFont"/>
    <w:rPr>
      <w:color w:val="0000FF"/>
      <w:u w:val="single"/>
    </w:rPr>
  </w:style>
  <w:style w:type="character" w:styleId="Style13">
    <w:name w:val="Верхний колонтитул Знак"/>
    <w:basedOn w:val="DefaultParagraphFont"/>
    <w:qFormat/>
    <w:rPr/>
  </w:style>
  <w:style w:type="character" w:styleId="Style14">
    <w:name w:val="Нижний колонтитул Знак"/>
    <w:basedOn w:val="DefaultParagraphFont"/>
    <w:qFormat/>
    <w:rPr/>
  </w:style>
  <w:style w:type="character" w:styleId="Style15">
    <w:name w:val="Текст выноски Знак"/>
    <w:basedOn w:val="DefaultParagraphFont"/>
    <w:qFormat/>
    <w:rPr>
      <w:rFonts w:ascii="Tahoma" w:hAnsi="Tahoma" w:cs="Tahoma"/>
      <w:sz w:val="16"/>
      <w:szCs w:val="16"/>
    </w:rPr>
  </w:style>
  <w:style w:type="character" w:styleId="ListLabel1">
    <w:name w:val="ListLabel 1"/>
    <w:qFormat/>
    <w:rPr>
      <w:rFonts w:cs="Times New Roman"/>
    </w:rPr>
  </w:style>
  <w:style w:type="character" w:styleId="ListLabel2">
    <w:name w:val="ListLabel 2"/>
    <w:qFormat/>
    <w:rPr>
      <w:rFonts w:cs="Times New Roman"/>
    </w:rPr>
  </w:style>
  <w:style w:type="character" w:styleId="ListLabel3">
    <w:name w:val="ListLabel 3"/>
    <w:qFormat/>
    <w:rPr>
      <w:rFonts w:ascii="Bookman Old Style" w:hAnsi="Bookman Old Style" w:cs="Courier New"/>
      <w:b/>
      <w:sz w:val="24"/>
    </w:rPr>
  </w:style>
  <w:style w:type="character" w:styleId="ListLabel4">
    <w:name w:val="ListLabel 4"/>
    <w:qFormat/>
    <w:rPr>
      <w:rFonts w:cs="Courier New"/>
    </w:rPr>
  </w:style>
  <w:style w:type="character" w:styleId="ListLabel5">
    <w:name w:val="ListLabel 5"/>
    <w:qFormat/>
    <w:rPr>
      <w:rFonts w:cs="Wingdings"/>
    </w:rPr>
  </w:style>
  <w:style w:type="character" w:styleId="ListLabel6">
    <w:name w:val="ListLabel 6"/>
    <w:qFormat/>
    <w:rPr>
      <w:rFonts w:cs="Symbol"/>
    </w:rPr>
  </w:style>
  <w:style w:type="character" w:styleId="ListLabel7">
    <w:name w:val="ListLabel 7"/>
    <w:qFormat/>
    <w:rPr>
      <w:rFonts w:cs="Courier New"/>
    </w:rPr>
  </w:style>
  <w:style w:type="character" w:styleId="ListLabel8">
    <w:name w:val="ListLabel 8"/>
    <w:qFormat/>
    <w:rPr>
      <w:rFonts w:cs="Wingdings"/>
    </w:rPr>
  </w:style>
  <w:style w:type="character" w:styleId="ListLabel9">
    <w:name w:val="ListLabel 9"/>
    <w:qFormat/>
    <w:rPr>
      <w:rFonts w:cs="Symbol"/>
    </w:rPr>
  </w:style>
  <w:style w:type="character" w:styleId="ListLabel10">
    <w:name w:val="ListLabel 10"/>
    <w:qFormat/>
    <w:rPr>
      <w:rFonts w:cs="Courier New"/>
    </w:rPr>
  </w:style>
  <w:style w:type="character" w:styleId="ListLabel11">
    <w:name w:val="ListLabel 11"/>
    <w:qFormat/>
    <w:rPr>
      <w:rFonts w:cs="Wingdings"/>
    </w:rPr>
  </w:style>
  <w:style w:type="character" w:styleId="ListLabel12">
    <w:name w:val="ListLabel 12"/>
    <w:qFormat/>
    <w:rPr>
      <w:color w:val="000000"/>
    </w:rPr>
  </w:style>
  <w:style w:type="character" w:styleId="ListLabel13">
    <w:name w:val="ListLabel 13"/>
    <w:qFormat/>
    <w:rPr>
      <w:color w:val="000000"/>
    </w:rPr>
  </w:style>
  <w:style w:type="character" w:styleId="ListLabel14">
    <w:name w:val="ListLabel 14"/>
    <w:qFormat/>
    <w:rPr>
      <w:color w:val="00000A"/>
    </w:rPr>
  </w:style>
  <w:style w:type="character" w:styleId="ListLabel15">
    <w:name w:val="ListLabel 15"/>
    <w:qFormat/>
    <w:rPr>
      <w:color w:val="000000"/>
    </w:rPr>
  </w:style>
  <w:style w:type="character" w:styleId="ListLabel16">
    <w:name w:val="ListLabel 16"/>
    <w:qFormat/>
    <w:rPr>
      <w:color w:val="000000"/>
    </w:rPr>
  </w:style>
  <w:style w:type="character" w:styleId="ListLabel17">
    <w:name w:val="ListLabel 17"/>
    <w:qFormat/>
    <w:rPr>
      <w:color w:val="000000"/>
    </w:rPr>
  </w:style>
  <w:style w:type="character" w:styleId="ListLabel18">
    <w:name w:val="ListLabel 18"/>
    <w:qFormat/>
    <w:rPr>
      <w:color w:val="000000"/>
    </w:rPr>
  </w:style>
  <w:style w:type="character" w:styleId="ListLabel19">
    <w:name w:val="ListLabel 19"/>
    <w:qFormat/>
    <w:rPr>
      <w:color w:val="000000"/>
    </w:rPr>
  </w:style>
  <w:style w:type="character" w:styleId="ListLabel20">
    <w:name w:val="ListLabel 20"/>
    <w:qFormat/>
    <w:rPr>
      <w:color w:val="000000"/>
    </w:rPr>
  </w:style>
  <w:style w:type="character" w:styleId="ListLabel21">
    <w:name w:val="ListLabel 21"/>
    <w:qFormat/>
    <w:rPr>
      <w:rFonts w:ascii="Bookman Old Style" w:hAnsi="Bookman Old Style" w:cs="Courier New"/>
      <w:sz w:val="24"/>
    </w:rPr>
  </w:style>
  <w:style w:type="character" w:styleId="ListLabel22">
    <w:name w:val="ListLabel 22"/>
    <w:qFormat/>
    <w:rPr>
      <w:rFonts w:cs="Courier New"/>
    </w:rPr>
  </w:style>
  <w:style w:type="character" w:styleId="ListLabel23">
    <w:name w:val="ListLabel 23"/>
    <w:qFormat/>
    <w:rPr>
      <w:rFonts w:cs="Wingdings"/>
    </w:rPr>
  </w:style>
  <w:style w:type="character" w:styleId="ListLabel24">
    <w:name w:val="ListLabel 24"/>
    <w:qFormat/>
    <w:rPr>
      <w:rFonts w:cs="Symbol"/>
    </w:rPr>
  </w:style>
  <w:style w:type="character" w:styleId="ListLabel25">
    <w:name w:val="ListLabel 25"/>
    <w:qFormat/>
    <w:rPr>
      <w:rFonts w:cs="Courier New"/>
    </w:rPr>
  </w:style>
  <w:style w:type="character" w:styleId="ListLabel26">
    <w:name w:val="ListLabel 26"/>
    <w:qFormat/>
    <w:rPr>
      <w:rFonts w:cs="Wingdings"/>
    </w:rPr>
  </w:style>
  <w:style w:type="character" w:styleId="ListLabel27">
    <w:name w:val="ListLabel 27"/>
    <w:qFormat/>
    <w:rPr>
      <w:rFonts w:cs="Symbol"/>
    </w:rPr>
  </w:style>
  <w:style w:type="character" w:styleId="ListLabel28">
    <w:name w:val="ListLabel 28"/>
    <w:qFormat/>
    <w:rPr>
      <w:rFonts w:cs="Courier New"/>
    </w:rPr>
  </w:style>
  <w:style w:type="character" w:styleId="ListLabel29">
    <w:name w:val="ListLabel 29"/>
    <w:qFormat/>
    <w:rPr>
      <w:rFonts w:cs="Wingdings"/>
    </w:rPr>
  </w:style>
  <w:style w:type="character" w:styleId="ListLabel30">
    <w:name w:val="ListLabel 30"/>
    <w:qFormat/>
    <w:rPr>
      <w:rFonts w:ascii="Bookman Old Style" w:hAnsi="Bookman Old Style" w:cs="Courier New"/>
      <w:b/>
      <w:sz w:val="24"/>
    </w:rPr>
  </w:style>
  <w:style w:type="character" w:styleId="ListLabel31">
    <w:name w:val="ListLabel 31"/>
    <w:qFormat/>
    <w:rPr>
      <w:rFonts w:cs="Courier New"/>
    </w:rPr>
  </w:style>
  <w:style w:type="character" w:styleId="ListLabel32">
    <w:name w:val="ListLabel 32"/>
    <w:qFormat/>
    <w:rPr>
      <w:rFonts w:cs="Wingdings"/>
    </w:rPr>
  </w:style>
  <w:style w:type="character" w:styleId="ListLabel33">
    <w:name w:val="ListLabel 33"/>
    <w:qFormat/>
    <w:rPr>
      <w:rFonts w:cs="Symbol"/>
    </w:rPr>
  </w:style>
  <w:style w:type="character" w:styleId="ListLabel34">
    <w:name w:val="ListLabel 34"/>
    <w:qFormat/>
    <w:rPr>
      <w:rFonts w:cs="Courier New"/>
    </w:rPr>
  </w:style>
  <w:style w:type="character" w:styleId="ListLabel35">
    <w:name w:val="ListLabel 35"/>
    <w:qFormat/>
    <w:rPr>
      <w:rFonts w:cs="Wingdings"/>
    </w:rPr>
  </w:style>
  <w:style w:type="character" w:styleId="ListLabel36">
    <w:name w:val="ListLabel 36"/>
    <w:qFormat/>
    <w:rPr>
      <w:rFonts w:cs="Symbol"/>
    </w:rPr>
  </w:style>
  <w:style w:type="character" w:styleId="ListLabel37">
    <w:name w:val="ListLabel 37"/>
    <w:qFormat/>
    <w:rPr>
      <w:rFonts w:cs="Courier New"/>
    </w:rPr>
  </w:style>
  <w:style w:type="character" w:styleId="ListLabel38">
    <w:name w:val="ListLabel 38"/>
    <w:qFormat/>
    <w:rPr>
      <w:rFonts w:cs="Wingdings"/>
    </w:rPr>
  </w:style>
  <w:style w:type="character" w:styleId="ListLabel39">
    <w:name w:val="ListLabel 39"/>
    <w:qFormat/>
    <w:rPr>
      <w:rFonts w:ascii="Bookman Old Style" w:hAnsi="Bookman Old Style" w:cs="Courier New"/>
      <w:sz w:val="24"/>
    </w:rPr>
  </w:style>
  <w:style w:type="character" w:styleId="ListLabel40">
    <w:name w:val="ListLabel 40"/>
    <w:qFormat/>
    <w:rPr>
      <w:rFonts w:cs="Courier New"/>
    </w:rPr>
  </w:style>
  <w:style w:type="character" w:styleId="ListLabel41">
    <w:name w:val="ListLabel 41"/>
    <w:qFormat/>
    <w:rPr>
      <w:rFonts w:cs="Wingdings"/>
    </w:rPr>
  </w:style>
  <w:style w:type="character" w:styleId="ListLabel42">
    <w:name w:val="ListLabel 42"/>
    <w:qFormat/>
    <w:rPr>
      <w:rFonts w:cs="Symbol"/>
    </w:rPr>
  </w:style>
  <w:style w:type="character" w:styleId="ListLabel43">
    <w:name w:val="ListLabel 43"/>
    <w:qFormat/>
    <w:rPr>
      <w:rFonts w:cs="Courier New"/>
    </w:rPr>
  </w:style>
  <w:style w:type="character" w:styleId="ListLabel44">
    <w:name w:val="ListLabel 44"/>
    <w:qFormat/>
    <w:rPr>
      <w:rFonts w:cs="Wingdings"/>
    </w:rPr>
  </w:style>
  <w:style w:type="character" w:styleId="ListLabel45">
    <w:name w:val="ListLabel 45"/>
    <w:qFormat/>
    <w:rPr>
      <w:rFonts w:cs="Symbol"/>
    </w:rPr>
  </w:style>
  <w:style w:type="character" w:styleId="ListLabel46">
    <w:name w:val="ListLabel 46"/>
    <w:qFormat/>
    <w:rPr>
      <w:rFonts w:cs="Courier New"/>
    </w:rPr>
  </w:style>
  <w:style w:type="character" w:styleId="ListLabel47">
    <w:name w:val="ListLabel 47"/>
    <w:qFormat/>
    <w:rPr>
      <w:rFonts w:cs="Wingdings"/>
    </w:rPr>
  </w:style>
  <w:style w:type="character" w:styleId="ListLabel48">
    <w:name w:val="ListLabel 48"/>
    <w:qFormat/>
    <w:rPr>
      <w:rFonts w:ascii="Bookman Old Style" w:hAnsi="Bookman Old Style" w:cs="Courier New"/>
      <w:b/>
      <w:sz w:val="24"/>
    </w:rPr>
  </w:style>
  <w:style w:type="character" w:styleId="ListLabel49">
    <w:name w:val="ListLabel 49"/>
    <w:qFormat/>
    <w:rPr>
      <w:rFonts w:cs="Courier New"/>
    </w:rPr>
  </w:style>
  <w:style w:type="character" w:styleId="ListLabel50">
    <w:name w:val="ListLabel 50"/>
    <w:qFormat/>
    <w:rPr>
      <w:rFonts w:cs="Wingdings"/>
    </w:rPr>
  </w:style>
  <w:style w:type="character" w:styleId="ListLabel51">
    <w:name w:val="ListLabel 51"/>
    <w:qFormat/>
    <w:rPr>
      <w:rFonts w:cs="Symbol"/>
    </w:rPr>
  </w:style>
  <w:style w:type="character" w:styleId="ListLabel52">
    <w:name w:val="ListLabel 52"/>
    <w:qFormat/>
    <w:rPr>
      <w:rFonts w:cs="Courier New"/>
    </w:rPr>
  </w:style>
  <w:style w:type="character" w:styleId="ListLabel53">
    <w:name w:val="ListLabel 53"/>
    <w:qFormat/>
    <w:rPr>
      <w:rFonts w:cs="Wingdings"/>
    </w:rPr>
  </w:style>
  <w:style w:type="character" w:styleId="ListLabel54">
    <w:name w:val="ListLabel 54"/>
    <w:qFormat/>
    <w:rPr>
      <w:rFonts w:cs="Symbol"/>
    </w:rPr>
  </w:style>
  <w:style w:type="character" w:styleId="ListLabel55">
    <w:name w:val="ListLabel 55"/>
    <w:qFormat/>
    <w:rPr>
      <w:rFonts w:cs="Courier New"/>
    </w:rPr>
  </w:style>
  <w:style w:type="character" w:styleId="ListLabel56">
    <w:name w:val="ListLabel 56"/>
    <w:qFormat/>
    <w:rPr>
      <w:rFonts w:cs="Wingdings"/>
    </w:rPr>
  </w:style>
  <w:style w:type="character" w:styleId="ListLabel57">
    <w:name w:val="ListLabel 57"/>
    <w:qFormat/>
    <w:rPr>
      <w:rFonts w:ascii="Bookman Old Style" w:hAnsi="Bookman Old Style" w:cs="Courier New"/>
      <w:sz w:val="24"/>
    </w:rPr>
  </w:style>
  <w:style w:type="character" w:styleId="ListLabel58">
    <w:name w:val="ListLabel 58"/>
    <w:qFormat/>
    <w:rPr>
      <w:rFonts w:cs="Courier New"/>
    </w:rPr>
  </w:style>
  <w:style w:type="character" w:styleId="ListLabel59">
    <w:name w:val="ListLabel 59"/>
    <w:qFormat/>
    <w:rPr>
      <w:rFonts w:cs="Wingdings"/>
    </w:rPr>
  </w:style>
  <w:style w:type="character" w:styleId="ListLabel60">
    <w:name w:val="ListLabel 60"/>
    <w:qFormat/>
    <w:rPr>
      <w:rFonts w:cs="Symbol"/>
    </w:rPr>
  </w:style>
  <w:style w:type="character" w:styleId="ListLabel61">
    <w:name w:val="ListLabel 61"/>
    <w:qFormat/>
    <w:rPr>
      <w:rFonts w:cs="Courier New"/>
    </w:rPr>
  </w:style>
  <w:style w:type="character" w:styleId="ListLabel62">
    <w:name w:val="ListLabel 62"/>
    <w:qFormat/>
    <w:rPr>
      <w:rFonts w:cs="Wingdings"/>
    </w:rPr>
  </w:style>
  <w:style w:type="character" w:styleId="ListLabel63">
    <w:name w:val="ListLabel 63"/>
    <w:qFormat/>
    <w:rPr>
      <w:rFonts w:cs="Symbol"/>
    </w:rPr>
  </w:style>
  <w:style w:type="character" w:styleId="ListLabel64">
    <w:name w:val="ListLabel 64"/>
    <w:qFormat/>
    <w:rPr>
      <w:rFonts w:cs="Courier New"/>
    </w:rPr>
  </w:style>
  <w:style w:type="character" w:styleId="ListLabel65">
    <w:name w:val="ListLabel 65"/>
    <w:qFormat/>
    <w:rPr>
      <w:rFonts w:cs="Wingdings"/>
    </w:rPr>
  </w:style>
  <w:style w:type="character" w:styleId="ListLabel66">
    <w:name w:val="ListLabel 66"/>
    <w:qFormat/>
    <w:rPr>
      <w:rFonts w:ascii="Bookman Old Style" w:hAnsi="Bookman Old Style" w:cs="Courier New"/>
      <w:b/>
      <w:sz w:val="24"/>
    </w:rPr>
  </w:style>
  <w:style w:type="character" w:styleId="ListLabel67">
    <w:name w:val="ListLabel 67"/>
    <w:qFormat/>
    <w:rPr>
      <w:rFonts w:cs="Courier New"/>
    </w:rPr>
  </w:style>
  <w:style w:type="character" w:styleId="ListLabel68">
    <w:name w:val="ListLabel 68"/>
    <w:qFormat/>
    <w:rPr>
      <w:rFonts w:cs="Wingdings"/>
    </w:rPr>
  </w:style>
  <w:style w:type="character" w:styleId="ListLabel69">
    <w:name w:val="ListLabel 69"/>
    <w:qFormat/>
    <w:rPr>
      <w:rFonts w:cs="Symbol"/>
    </w:rPr>
  </w:style>
  <w:style w:type="character" w:styleId="ListLabel70">
    <w:name w:val="ListLabel 70"/>
    <w:qFormat/>
    <w:rPr>
      <w:rFonts w:cs="Courier New"/>
    </w:rPr>
  </w:style>
  <w:style w:type="character" w:styleId="ListLabel71">
    <w:name w:val="ListLabel 71"/>
    <w:qFormat/>
    <w:rPr>
      <w:rFonts w:cs="Wingdings"/>
    </w:rPr>
  </w:style>
  <w:style w:type="character" w:styleId="ListLabel72">
    <w:name w:val="ListLabel 72"/>
    <w:qFormat/>
    <w:rPr>
      <w:rFonts w:cs="Symbol"/>
    </w:rPr>
  </w:style>
  <w:style w:type="character" w:styleId="ListLabel73">
    <w:name w:val="ListLabel 73"/>
    <w:qFormat/>
    <w:rPr>
      <w:rFonts w:cs="Courier New"/>
    </w:rPr>
  </w:style>
  <w:style w:type="character" w:styleId="ListLabel74">
    <w:name w:val="ListLabel 74"/>
    <w:qFormat/>
    <w:rPr>
      <w:rFonts w:cs="Wingdings"/>
    </w:rPr>
  </w:style>
  <w:style w:type="character" w:styleId="ListLabel75">
    <w:name w:val="ListLabel 75"/>
    <w:qFormat/>
    <w:rPr>
      <w:rFonts w:ascii="Bookman Old Style" w:hAnsi="Bookman Old Style" w:cs="Courier New"/>
      <w:sz w:val="24"/>
    </w:rPr>
  </w:style>
  <w:style w:type="character" w:styleId="ListLabel76">
    <w:name w:val="ListLabel 76"/>
    <w:qFormat/>
    <w:rPr>
      <w:rFonts w:cs="Courier New"/>
    </w:rPr>
  </w:style>
  <w:style w:type="character" w:styleId="ListLabel77">
    <w:name w:val="ListLabel 77"/>
    <w:qFormat/>
    <w:rPr>
      <w:rFonts w:cs="Wingdings"/>
    </w:rPr>
  </w:style>
  <w:style w:type="character" w:styleId="ListLabel78">
    <w:name w:val="ListLabel 78"/>
    <w:qFormat/>
    <w:rPr>
      <w:rFonts w:cs="Symbol"/>
    </w:rPr>
  </w:style>
  <w:style w:type="character" w:styleId="ListLabel79">
    <w:name w:val="ListLabel 79"/>
    <w:qFormat/>
    <w:rPr>
      <w:rFonts w:cs="Courier New"/>
    </w:rPr>
  </w:style>
  <w:style w:type="character" w:styleId="ListLabel80">
    <w:name w:val="ListLabel 80"/>
    <w:qFormat/>
    <w:rPr>
      <w:rFonts w:cs="Wingdings"/>
    </w:rPr>
  </w:style>
  <w:style w:type="character" w:styleId="ListLabel81">
    <w:name w:val="ListLabel 81"/>
    <w:qFormat/>
    <w:rPr>
      <w:rFonts w:cs="Symbol"/>
    </w:rPr>
  </w:style>
  <w:style w:type="character" w:styleId="ListLabel82">
    <w:name w:val="ListLabel 82"/>
    <w:qFormat/>
    <w:rPr>
      <w:rFonts w:cs="Courier New"/>
    </w:rPr>
  </w:style>
  <w:style w:type="character" w:styleId="ListLabel83">
    <w:name w:val="ListLabel 83"/>
    <w:qFormat/>
    <w:rPr>
      <w:rFonts w:cs="Wingdings"/>
    </w:rPr>
  </w:style>
  <w:style w:type="character" w:styleId="ListLabel84">
    <w:name w:val="ListLabel 84"/>
    <w:qFormat/>
    <w:rPr>
      <w:rFonts w:ascii="Bookman Old Style" w:hAnsi="Bookman Old Style" w:cs="Courier New"/>
      <w:b/>
      <w:sz w:val="24"/>
    </w:rPr>
  </w:style>
  <w:style w:type="character" w:styleId="ListLabel85">
    <w:name w:val="ListLabel 85"/>
    <w:qFormat/>
    <w:rPr>
      <w:rFonts w:cs="Courier New"/>
    </w:rPr>
  </w:style>
  <w:style w:type="character" w:styleId="ListLabel86">
    <w:name w:val="ListLabel 86"/>
    <w:qFormat/>
    <w:rPr>
      <w:rFonts w:cs="Wingdings"/>
    </w:rPr>
  </w:style>
  <w:style w:type="character" w:styleId="ListLabel87">
    <w:name w:val="ListLabel 87"/>
    <w:qFormat/>
    <w:rPr>
      <w:rFonts w:cs="Symbol"/>
    </w:rPr>
  </w:style>
  <w:style w:type="character" w:styleId="ListLabel88">
    <w:name w:val="ListLabel 88"/>
    <w:qFormat/>
    <w:rPr>
      <w:rFonts w:cs="Courier New"/>
    </w:rPr>
  </w:style>
  <w:style w:type="character" w:styleId="ListLabel89">
    <w:name w:val="ListLabel 89"/>
    <w:qFormat/>
    <w:rPr>
      <w:rFonts w:cs="Wingdings"/>
    </w:rPr>
  </w:style>
  <w:style w:type="character" w:styleId="ListLabel90">
    <w:name w:val="ListLabel 90"/>
    <w:qFormat/>
    <w:rPr>
      <w:rFonts w:cs="Symbol"/>
    </w:rPr>
  </w:style>
  <w:style w:type="character" w:styleId="ListLabel91">
    <w:name w:val="ListLabel 91"/>
    <w:qFormat/>
    <w:rPr>
      <w:rFonts w:cs="Courier New"/>
    </w:rPr>
  </w:style>
  <w:style w:type="character" w:styleId="ListLabel92">
    <w:name w:val="ListLabel 92"/>
    <w:qFormat/>
    <w:rPr>
      <w:rFonts w:cs="Wingdings"/>
    </w:rPr>
  </w:style>
  <w:style w:type="character" w:styleId="ListLabel93">
    <w:name w:val="ListLabel 93"/>
    <w:qFormat/>
    <w:rPr>
      <w:rFonts w:ascii="Bookman Old Style" w:hAnsi="Bookman Old Style" w:cs="Courier New"/>
      <w:sz w:val="24"/>
    </w:rPr>
  </w:style>
  <w:style w:type="character" w:styleId="ListLabel94">
    <w:name w:val="ListLabel 94"/>
    <w:qFormat/>
    <w:rPr>
      <w:rFonts w:cs="Courier New"/>
    </w:rPr>
  </w:style>
  <w:style w:type="character" w:styleId="ListLabel95">
    <w:name w:val="ListLabel 95"/>
    <w:qFormat/>
    <w:rPr>
      <w:rFonts w:cs="Wingdings"/>
    </w:rPr>
  </w:style>
  <w:style w:type="character" w:styleId="ListLabel96">
    <w:name w:val="ListLabel 96"/>
    <w:qFormat/>
    <w:rPr>
      <w:rFonts w:cs="Symbol"/>
    </w:rPr>
  </w:style>
  <w:style w:type="character" w:styleId="ListLabel97">
    <w:name w:val="ListLabel 97"/>
    <w:qFormat/>
    <w:rPr>
      <w:rFonts w:cs="Courier New"/>
    </w:rPr>
  </w:style>
  <w:style w:type="character" w:styleId="ListLabel98">
    <w:name w:val="ListLabel 98"/>
    <w:qFormat/>
    <w:rPr>
      <w:rFonts w:cs="Wingdings"/>
    </w:rPr>
  </w:style>
  <w:style w:type="character" w:styleId="ListLabel99">
    <w:name w:val="ListLabel 99"/>
    <w:qFormat/>
    <w:rPr>
      <w:rFonts w:cs="Symbol"/>
    </w:rPr>
  </w:style>
  <w:style w:type="character" w:styleId="ListLabel100">
    <w:name w:val="ListLabel 100"/>
    <w:qFormat/>
    <w:rPr>
      <w:rFonts w:cs="Courier New"/>
    </w:rPr>
  </w:style>
  <w:style w:type="character" w:styleId="ListLabel101">
    <w:name w:val="ListLabel 101"/>
    <w:qFormat/>
    <w:rPr>
      <w:rFonts w:cs="Wingdings"/>
    </w:rPr>
  </w:style>
  <w:style w:type="character" w:styleId="ListLabel102">
    <w:name w:val="ListLabel 102"/>
    <w:qFormat/>
    <w:rPr>
      <w:rFonts w:ascii="Bookman Old Style" w:hAnsi="Bookman Old Style" w:cs="Courier New"/>
      <w:b/>
      <w:sz w:val="24"/>
    </w:rPr>
  </w:style>
  <w:style w:type="character" w:styleId="ListLabel103">
    <w:name w:val="ListLabel 103"/>
    <w:qFormat/>
    <w:rPr>
      <w:rFonts w:cs="Courier New"/>
    </w:rPr>
  </w:style>
  <w:style w:type="character" w:styleId="ListLabel104">
    <w:name w:val="ListLabel 104"/>
    <w:qFormat/>
    <w:rPr>
      <w:rFonts w:cs="Wingdings"/>
    </w:rPr>
  </w:style>
  <w:style w:type="character" w:styleId="ListLabel105">
    <w:name w:val="ListLabel 105"/>
    <w:qFormat/>
    <w:rPr>
      <w:rFonts w:cs="Symbol"/>
    </w:rPr>
  </w:style>
  <w:style w:type="character" w:styleId="ListLabel106">
    <w:name w:val="ListLabel 106"/>
    <w:qFormat/>
    <w:rPr>
      <w:rFonts w:cs="Courier New"/>
    </w:rPr>
  </w:style>
  <w:style w:type="character" w:styleId="ListLabel107">
    <w:name w:val="ListLabel 107"/>
    <w:qFormat/>
    <w:rPr>
      <w:rFonts w:cs="Wingdings"/>
    </w:rPr>
  </w:style>
  <w:style w:type="character" w:styleId="ListLabel108">
    <w:name w:val="ListLabel 108"/>
    <w:qFormat/>
    <w:rPr>
      <w:rFonts w:cs="Symbol"/>
    </w:rPr>
  </w:style>
  <w:style w:type="character" w:styleId="ListLabel109">
    <w:name w:val="ListLabel 109"/>
    <w:qFormat/>
    <w:rPr>
      <w:rFonts w:cs="Courier New"/>
    </w:rPr>
  </w:style>
  <w:style w:type="character" w:styleId="ListLabel110">
    <w:name w:val="ListLabel 110"/>
    <w:qFormat/>
    <w:rPr>
      <w:rFonts w:cs="Wingdings"/>
    </w:rPr>
  </w:style>
  <w:style w:type="character" w:styleId="ListLabel111">
    <w:name w:val="ListLabel 111"/>
    <w:qFormat/>
    <w:rPr>
      <w:rFonts w:ascii="Bookman Old Style" w:hAnsi="Bookman Old Style" w:cs="Courier New"/>
      <w:sz w:val="24"/>
    </w:rPr>
  </w:style>
  <w:style w:type="character" w:styleId="ListLabel112">
    <w:name w:val="ListLabel 112"/>
    <w:qFormat/>
    <w:rPr>
      <w:rFonts w:cs="Courier New"/>
    </w:rPr>
  </w:style>
  <w:style w:type="character" w:styleId="ListLabel113">
    <w:name w:val="ListLabel 113"/>
    <w:qFormat/>
    <w:rPr>
      <w:rFonts w:cs="Wingdings"/>
    </w:rPr>
  </w:style>
  <w:style w:type="character" w:styleId="ListLabel114">
    <w:name w:val="ListLabel 114"/>
    <w:qFormat/>
    <w:rPr>
      <w:rFonts w:cs="Symbol"/>
    </w:rPr>
  </w:style>
  <w:style w:type="character" w:styleId="ListLabel115">
    <w:name w:val="ListLabel 115"/>
    <w:qFormat/>
    <w:rPr>
      <w:rFonts w:cs="Courier New"/>
    </w:rPr>
  </w:style>
  <w:style w:type="character" w:styleId="ListLabel116">
    <w:name w:val="ListLabel 116"/>
    <w:qFormat/>
    <w:rPr>
      <w:rFonts w:cs="Wingdings"/>
    </w:rPr>
  </w:style>
  <w:style w:type="character" w:styleId="ListLabel117">
    <w:name w:val="ListLabel 117"/>
    <w:qFormat/>
    <w:rPr>
      <w:rFonts w:cs="Symbol"/>
    </w:rPr>
  </w:style>
  <w:style w:type="character" w:styleId="ListLabel118">
    <w:name w:val="ListLabel 118"/>
    <w:qFormat/>
    <w:rPr>
      <w:rFonts w:cs="Courier New"/>
    </w:rPr>
  </w:style>
  <w:style w:type="character" w:styleId="ListLabel119">
    <w:name w:val="ListLabel 119"/>
    <w:qFormat/>
    <w:rPr>
      <w:rFonts w:cs="Wingdings"/>
    </w:rPr>
  </w:style>
  <w:style w:type="character" w:styleId="ListLabel120">
    <w:name w:val="ListLabel 120"/>
    <w:qFormat/>
    <w:rPr>
      <w:rFonts w:ascii="Bookman Old Style" w:hAnsi="Bookman Old Style" w:cs="Courier New"/>
      <w:b/>
      <w:sz w:val="24"/>
    </w:rPr>
  </w:style>
  <w:style w:type="character" w:styleId="ListLabel121">
    <w:name w:val="ListLabel 121"/>
    <w:qFormat/>
    <w:rPr>
      <w:rFonts w:cs="Courier New"/>
    </w:rPr>
  </w:style>
  <w:style w:type="character" w:styleId="ListLabel122">
    <w:name w:val="ListLabel 122"/>
    <w:qFormat/>
    <w:rPr>
      <w:rFonts w:cs="Wingdings"/>
    </w:rPr>
  </w:style>
  <w:style w:type="character" w:styleId="ListLabel123">
    <w:name w:val="ListLabel 123"/>
    <w:qFormat/>
    <w:rPr>
      <w:rFonts w:cs="Symbol"/>
    </w:rPr>
  </w:style>
  <w:style w:type="character" w:styleId="ListLabel124">
    <w:name w:val="ListLabel 124"/>
    <w:qFormat/>
    <w:rPr>
      <w:rFonts w:cs="Courier New"/>
    </w:rPr>
  </w:style>
  <w:style w:type="character" w:styleId="ListLabel125">
    <w:name w:val="ListLabel 125"/>
    <w:qFormat/>
    <w:rPr>
      <w:rFonts w:cs="Wingdings"/>
    </w:rPr>
  </w:style>
  <w:style w:type="character" w:styleId="ListLabel126">
    <w:name w:val="ListLabel 126"/>
    <w:qFormat/>
    <w:rPr>
      <w:rFonts w:cs="Symbol"/>
    </w:rPr>
  </w:style>
  <w:style w:type="character" w:styleId="ListLabel127">
    <w:name w:val="ListLabel 127"/>
    <w:qFormat/>
    <w:rPr>
      <w:rFonts w:cs="Courier New"/>
    </w:rPr>
  </w:style>
  <w:style w:type="character" w:styleId="ListLabel128">
    <w:name w:val="ListLabel 128"/>
    <w:qFormat/>
    <w:rPr>
      <w:rFonts w:cs="Wingdings"/>
    </w:rPr>
  </w:style>
  <w:style w:type="character" w:styleId="ListLabel129">
    <w:name w:val="ListLabel 129"/>
    <w:qFormat/>
    <w:rPr>
      <w:rFonts w:ascii="Bookman Old Style" w:hAnsi="Bookman Old Style" w:cs="Courier New"/>
      <w:sz w:val="24"/>
    </w:rPr>
  </w:style>
  <w:style w:type="character" w:styleId="ListLabel130">
    <w:name w:val="ListLabel 130"/>
    <w:qFormat/>
    <w:rPr>
      <w:rFonts w:cs="Courier New"/>
    </w:rPr>
  </w:style>
  <w:style w:type="character" w:styleId="ListLabel131">
    <w:name w:val="ListLabel 131"/>
    <w:qFormat/>
    <w:rPr>
      <w:rFonts w:cs="Wingdings"/>
    </w:rPr>
  </w:style>
  <w:style w:type="character" w:styleId="ListLabel132">
    <w:name w:val="ListLabel 132"/>
    <w:qFormat/>
    <w:rPr>
      <w:rFonts w:cs="Symbol"/>
    </w:rPr>
  </w:style>
  <w:style w:type="character" w:styleId="ListLabel133">
    <w:name w:val="ListLabel 133"/>
    <w:qFormat/>
    <w:rPr>
      <w:rFonts w:cs="Courier New"/>
    </w:rPr>
  </w:style>
  <w:style w:type="character" w:styleId="ListLabel134">
    <w:name w:val="ListLabel 134"/>
    <w:qFormat/>
    <w:rPr>
      <w:rFonts w:cs="Wingdings"/>
    </w:rPr>
  </w:style>
  <w:style w:type="character" w:styleId="ListLabel135">
    <w:name w:val="ListLabel 135"/>
    <w:qFormat/>
    <w:rPr>
      <w:rFonts w:cs="Symbol"/>
    </w:rPr>
  </w:style>
  <w:style w:type="character" w:styleId="ListLabel136">
    <w:name w:val="ListLabel 136"/>
    <w:qFormat/>
    <w:rPr>
      <w:rFonts w:cs="Courier New"/>
    </w:rPr>
  </w:style>
  <w:style w:type="character" w:styleId="ListLabel137">
    <w:name w:val="ListLabel 137"/>
    <w:qFormat/>
    <w:rPr>
      <w:rFonts w:cs="Wingdings"/>
    </w:rPr>
  </w:style>
  <w:style w:type="character" w:styleId="ListLabel138">
    <w:name w:val="ListLabel 138"/>
    <w:qFormat/>
    <w:rPr>
      <w:rFonts w:ascii="Bookman Old Style" w:hAnsi="Bookman Old Style" w:cs="Courier New"/>
      <w:b/>
      <w:sz w:val="24"/>
    </w:rPr>
  </w:style>
  <w:style w:type="character" w:styleId="ListLabel139">
    <w:name w:val="ListLabel 139"/>
    <w:qFormat/>
    <w:rPr>
      <w:rFonts w:cs="Courier New"/>
    </w:rPr>
  </w:style>
  <w:style w:type="character" w:styleId="ListLabel140">
    <w:name w:val="ListLabel 140"/>
    <w:qFormat/>
    <w:rPr>
      <w:rFonts w:cs="Wingdings"/>
    </w:rPr>
  </w:style>
  <w:style w:type="character" w:styleId="ListLabel141">
    <w:name w:val="ListLabel 141"/>
    <w:qFormat/>
    <w:rPr>
      <w:rFonts w:cs="Symbol"/>
    </w:rPr>
  </w:style>
  <w:style w:type="character" w:styleId="ListLabel142">
    <w:name w:val="ListLabel 142"/>
    <w:qFormat/>
    <w:rPr>
      <w:rFonts w:cs="Courier New"/>
    </w:rPr>
  </w:style>
  <w:style w:type="character" w:styleId="ListLabel143">
    <w:name w:val="ListLabel 143"/>
    <w:qFormat/>
    <w:rPr>
      <w:rFonts w:cs="Wingdings"/>
    </w:rPr>
  </w:style>
  <w:style w:type="character" w:styleId="ListLabel144">
    <w:name w:val="ListLabel 144"/>
    <w:qFormat/>
    <w:rPr>
      <w:rFonts w:cs="Symbol"/>
    </w:rPr>
  </w:style>
  <w:style w:type="character" w:styleId="ListLabel145">
    <w:name w:val="ListLabel 145"/>
    <w:qFormat/>
    <w:rPr>
      <w:rFonts w:cs="Courier New"/>
    </w:rPr>
  </w:style>
  <w:style w:type="character" w:styleId="ListLabel146">
    <w:name w:val="ListLabel 146"/>
    <w:qFormat/>
    <w:rPr>
      <w:rFonts w:cs="Wingdings"/>
    </w:rPr>
  </w:style>
  <w:style w:type="character" w:styleId="ListLabel147">
    <w:name w:val="ListLabel 147"/>
    <w:qFormat/>
    <w:rPr>
      <w:rFonts w:ascii="Bookman Old Style" w:hAnsi="Bookman Old Style" w:cs="Courier New"/>
      <w:sz w:val="24"/>
    </w:rPr>
  </w:style>
  <w:style w:type="character" w:styleId="ListLabel148">
    <w:name w:val="ListLabel 148"/>
    <w:qFormat/>
    <w:rPr>
      <w:rFonts w:cs="Courier New"/>
    </w:rPr>
  </w:style>
  <w:style w:type="character" w:styleId="ListLabel149">
    <w:name w:val="ListLabel 149"/>
    <w:qFormat/>
    <w:rPr>
      <w:rFonts w:cs="Wingdings"/>
    </w:rPr>
  </w:style>
  <w:style w:type="character" w:styleId="ListLabel150">
    <w:name w:val="ListLabel 150"/>
    <w:qFormat/>
    <w:rPr>
      <w:rFonts w:cs="Symbol"/>
    </w:rPr>
  </w:style>
  <w:style w:type="character" w:styleId="ListLabel151">
    <w:name w:val="ListLabel 151"/>
    <w:qFormat/>
    <w:rPr>
      <w:rFonts w:cs="Courier New"/>
    </w:rPr>
  </w:style>
  <w:style w:type="character" w:styleId="ListLabel152">
    <w:name w:val="ListLabel 152"/>
    <w:qFormat/>
    <w:rPr>
      <w:rFonts w:cs="Wingdings"/>
    </w:rPr>
  </w:style>
  <w:style w:type="character" w:styleId="ListLabel153">
    <w:name w:val="ListLabel 153"/>
    <w:qFormat/>
    <w:rPr>
      <w:rFonts w:cs="Symbol"/>
    </w:rPr>
  </w:style>
  <w:style w:type="character" w:styleId="ListLabel154">
    <w:name w:val="ListLabel 154"/>
    <w:qFormat/>
    <w:rPr>
      <w:rFonts w:cs="Courier New"/>
    </w:rPr>
  </w:style>
  <w:style w:type="character" w:styleId="ListLabel155">
    <w:name w:val="ListLabel 155"/>
    <w:qFormat/>
    <w:rPr>
      <w:rFonts w:cs="Wingdings"/>
    </w:rPr>
  </w:style>
  <w:style w:type="character" w:styleId="ListLabel156">
    <w:name w:val="ListLabel 156"/>
    <w:qFormat/>
    <w:rPr>
      <w:rFonts w:ascii="Bookman Old Style" w:hAnsi="Bookman Old Style" w:cs="Courier New"/>
      <w:b/>
      <w:sz w:val="24"/>
    </w:rPr>
  </w:style>
  <w:style w:type="character" w:styleId="ListLabel157">
    <w:name w:val="ListLabel 157"/>
    <w:qFormat/>
    <w:rPr>
      <w:rFonts w:cs="Courier New"/>
    </w:rPr>
  </w:style>
  <w:style w:type="character" w:styleId="ListLabel158">
    <w:name w:val="ListLabel 158"/>
    <w:qFormat/>
    <w:rPr>
      <w:rFonts w:cs="Wingdings"/>
    </w:rPr>
  </w:style>
  <w:style w:type="character" w:styleId="ListLabel159">
    <w:name w:val="ListLabel 159"/>
    <w:qFormat/>
    <w:rPr>
      <w:rFonts w:cs="Symbol"/>
    </w:rPr>
  </w:style>
  <w:style w:type="character" w:styleId="ListLabel160">
    <w:name w:val="ListLabel 160"/>
    <w:qFormat/>
    <w:rPr>
      <w:rFonts w:cs="Courier New"/>
    </w:rPr>
  </w:style>
  <w:style w:type="character" w:styleId="ListLabel161">
    <w:name w:val="ListLabel 161"/>
    <w:qFormat/>
    <w:rPr>
      <w:rFonts w:cs="Wingdings"/>
    </w:rPr>
  </w:style>
  <w:style w:type="character" w:styleId="ListLabel162">
    <w:name w:val="ListLabel 162"/>
    <w:qFormat/>
    <w:rPr>
      <w:rFonts w:cs="Symbol"/>
    </w:rPr>
  </w:style>
  <w:style w:type="character" w:styleId="ListLabel163">
    <w:name w:val="ListLabel 163"/>
    <w:qFormat/>
    <w:rPr>
      <w:rFonts w:cs="Courier New"/>
    </w:rPr>
  </w:style>
  <w:style w:type="character" w:styleId="ListLabel164">
    <w:name w:val="ListLabel 164"/>
    <w:qFormat/>
    <w:rPr>
      <w:rFonts w:cs="Wingdings"/>
    </w:rPr>
  </w:style>
  <w:style w:type="character" w:styleId="ListLabel165">
    <w:name w:val="ListLabel 165"/>
    <w:qFormat/>
    <w:rPr>
      <w:rFonts w:ascii="Bookman Old Style" w:hAnsi="Bookman Old Style" w:cs="Courier New"/>
      <w:sz w:val="24"/>
    </w:rPr>
  </w:style>
  <w:style w:type="character" w:styleId="ListLabel166">
    <w:name w:val="ListLabel 166"/>
    <w:qFormat/>
    <w:rPr>
      <w:rFonts w:cs="Courier New"/>
    </w:rPr>
  </w:style>
  <w:style w:type="character" w:styleId="ListLabel167">
    <w:name w:val="ListLabel 167"/>
    <w:qFormat/>
    <w:rPr>
      <w:rFonts w:cs="Wingdings"/>
    </w:rPr>
  </w:style>
  <w:style w:type="character" w:styleId="ListLabel168">
    <w:name w:val="ListLabel 168"/>
    <w:qFormat/>
    <w:rPr>
      <w:rFonts w:cs="Symbol"/>
    </w:rPr>
  </w:style>
  <w:style w:type="character" w:styleId="ListLabel169">
    <w:name w:val="ListLabel 169"/>
    <w:qFormat/>
    <w:rPr>
      <w:rFonts w:cs="Courier New"/>
    </w:rPr>
  </w:style>
  <w:style w:type="character" w:styleId="ListLabel170">
    <w:name w:val="ListLabel 170"/>
    <w:qFormat/>
    <w:rPr>
      <w:rFonts w:cs="Wingdings"/>
    </w:rPr>
  </w:style>
  <w:style w:type="character" w:styleId="ListLabel171">
    <w:name w:val="ListLabel 171"/>
    <w:qFormat/>
    <w:rPr>
      <w:rFonts w:cs="Symbol"/>
    </w:rPr>
  </w:style>
  <w:style w:type="character" w:styleId="ListLabel172">
    <w:name w:val="ListLabel 172"/>
    <w:qFormat/>
    <w:rPr>
      <w:rFonts w:cs="Courier New"/>
    </w:rPr>
  </w:style>
  <w:style w:type="character" w:styleId="ListLabel173">
    <w:name w:val="ListLabel 173"/>
    <w:qFormat/>
    <w:rPr>
      <w:rFonts w:cs="Wingdings"/>
    </w:rPr>
  </w:style>
  <w:style w:type="character" w:styleId="ListLabel174">
    <w:name w:val="ListLabel 174"/>
    <w:qFormat/>
    <w:rPr>
      <w:rFonts w:ascii="Bookman Old Style" w:hAnsi="Bookman Old Style" w:cs="Courier New"/>
      <w:b/>
      <w:sz w:val="24"/>
    </w:rPr>
  </w:style>
  <w:style w:type="character" w:styleId="ListLabel175">
    <w:name w:val="ListLabel 175"/>
    <w:qFormat/>
    <w:rPr>
      <w:rFonts w:cs="Courier New"/>
    </w:rPr>
  </w:style>
  <w:style w:type="character" w:styleId="ListLabel176">
    <w:name w:val="ListLabel 176"/>
    <w:qFormat/>
    <w:rPr>
      <w:rFonts w:cs="Wingdings"/>
    </w:rPr>
  </w:style>
  <w:style w:type="character" w:styleId="ListLabel177">
    <w:name w:val="ListLabel 177"/>
    <w:qFormat/>
    <w:rPr>
      <w:rFonts w:cs="Symbol"/>
    </w:rPr>
  </w:style>
  <w:style w:type="character" w:styleId="ListLabel178">
    <w:name w:val="ListLabel 178"/>
    <w:qFormat/>
    <w:rPr>
      <w:rFonts w:cs="Courier New"/>
    </w:rPr>
  </w:style>
  <w:style w:type="character" w:styleId="ListLabel179">
    <w:name w:val="ListLabel 179"/>
    <w:qFormat/>
    <w:rPr>
      <w:rFonts w:cs="Wingdings"/>
    </w:rPr>
  </w:style>
  <w:style w:type="character" w:styleId="ListLabel180">
    <w:name w:val="ListLabel 180"/>
    <w:qFormat/>
    <w:rPr>
      <w:rFonts w:cs="Symbol"/>
    </w:rPr>
  </w:style>
  <w:style w:type="character" w:styleId="ListLabel181">
    <w:name w:val="ListLabel 181"/>
    <w:qFormat/>
    <w:rPr>
      <w:rFonts w:cs="Courier New"/>
    </w:rPr>
  </w:style>
  <w:style w:type="character" w:styleId="ListLabel182">
    <w:name w:val="ListLabel 182"/>
    <w:qFormat/>
    <w:rPr>
      <w:rFonts w:cs="Wingdings"/>
    </w:rPr>
  </w:style>
  <w:style w:type="character" w:styleId="ListLabel183">
    <w:name w:val="ListLabel 183"/>
    <w:qFormat/>
    <w:rPr>
      <w:rFonts w:ascii="Bookman Old Style" w:hAnsi="Bookman Old Style" w:cs="Courier New"/>
      <w:sz w:val="24"/>
    </w:rPr>
  </w:style>
  <w:style w:type="character" w:styleId="ListLabel184">
    <w:name w:val="ListLabel 184"/>
    <w:qFormat/>
    <w:rPr>
      <w:rFonts w:cs="Courier New"/>
    </w:rPr>
  </w:style>
  <w:style w:type="character" w:styleId="ListLabel185">
    <w:name w:val="ListLabel 185"/>
    <w:qFormat/>
    <w:rPr>
      <w:rFonts w:cs="Wingdings"/>
    </w:rPr>
  </w:style>
  <w:style w:type="character" w:styleId="ListLabel186">
    <w:name w:val="ListLabel 186"/>
    <w:qFormat/>
    <w:rPr>
      <w:rFonts w:cs="Symbol"/>
    </w:rPr>
  </w:style>
  <w:style w:type="character" w:styleId="ListLabel187">
    <w:name w:val="ListLabel 187"/>
    <w:qFormat/>
    <w:rPr>
      <w:rFonts w:cs="Courier New"/>
    </w:rPr>
  </w:style>
  <w:style w:type="character" w:styleId="ListLabel188">
    <w:name w:val="ListLabel 188"/>
    <w:qFormat/>
    <w:rPr>
      <w:rFonts w:cs="Wingdings"/>
    </w:rPr>
  </w:style>
  <w:style w:type="character" w:styleId="ListLabel189">
    <w:name w:val="ListLabel 189"/>
    <w:qFormat/>
    <w:rPr>
      <w:rFonts w:cs="Symbol"/>
    </w:rPr>
  </w:style>
  <w:style w:type="character" w:styleId="ListLabel190">
    <w:name w:val="ListLabel 190"/>
    <w:qFormat/>
    <w:rPr>
      <w:rFonts w:cs="Courier New"/>
    </w:rPr>
  </w:style>
  <w:style w:type="character" w:styleId="ListLabel191">
    <w:name w:val="ListLabel 191"/>
    <w:qFormat/>
    <w:rPr>
      <w:rFonts w:cs="Wingdings"/>
    </w:rPr>
  </w:style>
  <w:style w:type="character" w:styleId="ListLabel192">
    <w:name w:val="ListLabel 192"/>
    <w:qFormat/>
    <w:rPr>
      <w:rFonts w:ascii="Bookman Old Style" w:hAnsi="Bookman Old Style" w:cs="Courier New"/>
      <w:b/>
      <w:sz w:val="24"/>
    </w:rPr>
  </w:style>
  <w:style w:type="character" w:styleId="ListLabel193">
    <w:name w:val="ListLabel 193"/>
    <w:qFormat/>
    <w:rPr>
      <w:rFonts w:cs="Courier New"/>
    </w:rPr>
  </w:style>
  <w:style w:type="character" w:styleId="ListLabel194">
    <w:name w:val="ListLabel 194"/>
    <w:qFormat/>
    <w:rPr>
      <w:rFonts w:cs="Wingdings"/>
    </w:rPr>
  </w:style>
  <w:style w:type="character" w:styleId="ListLabel195">
    <w:name w:val="ListLabel 195"/>
    <w:qFormat/>
    <w:rPr>
      <w:rFonts w:cs="Symbol"/>
    </w:rPr>
  </w:style>
  <w:style w:type="character" w:styleId="ListLabel196">
    <w:name w:val="ListLabel 196"/>
    <w:qFormat/>
    <w:rPr>
      <w:rFonts w:cs="Courier New"/>
    </w:rPr>
  </w:style>
  <w:style w:type="character" w:styleId="ListLabel197">
    <w:name w:val="ListLabel 197"/>
    <w:qFormat/>
    <w:rPr>
      <w:rFonts w:cs="Wingdings"/>
    </w:rPr>
  </w:style>
  <w:style w:type="character" w:styleId="ListLabel198">
    <w:name w:val="ListLabel 198"/>
    <w:qFormat/>
    <w:rPr>
      <w:rFonts w:cs="Symbol"/>
    </w:rPr>
  </w:style>
  <w:style w:type="character" w:styleId="ListLabel199">
    <w:name w:val="ListLabel 199"/>
    <w:qFormat/>
    <w:rPr>
      <w:rFonts w:cs="Courier New"/>
    </w:rPr>
  </w:style>
  <w:style w:type="character" w:styleId="ListLabel200">
    <w:name w:val="ListLabel 200"/>
    <w:qFormat/>
    <w:rPr>
      <w:rFonts w:cs="Wingdings"/>
    </w:rPr>
  </w:style>
  <w:style w:type="character" w:styleId="ListLabel201">
    <w:name w:val="ListLabel 201"/>
    <w:qFormat/>
    <w:rPr>
      <w:rFonts w:ascii="Bookman Old Style" w:hAnsi="Bookman Old Style" w:cs="Courier New"/>
      <w:sz w:val="24"/>
    </w:rPr>
  </w:style>
  <w:style w:type="character" w:styleId="ListLabel202">
    <w:name w:val="ListLabel 202"/>
    <w:qFormat/>
    <w:rPr>
      <w:rFonts w:cs="Courier New"/>
    </w:rPr>
  </w:style>
  <w:style w:type="character" w:styleId="ListLabel203">
    <w:name w:val="ListLabel 203"/>
    <w:qFormat/>
    <w:rPr>
      <w:rFonts w:cs="Wingdings"/>
    </w:rPr>
  </w:style>
  <w:style w:type="character" w:styleId="ListLabel204">
    <w:name w:val="ListLabel 204"/>
    <w:qFormat/>
    <w:rPr>
      <w:rFonts w:cs="Symbol"/>
    </w:rPr>
  </w:style>
  <w:style w:type="character" w:styleId="ListLabel205">
    <w:name w:val="ListLabel 205"/>
    <w:qFormat/>
    <w:rPr>
      <w:rFonts w:cs="Courier New"/>
    </w:rPr>
  </w:style>
  <w:style w:type="character" w:styleId="ListLabel206">
    <w:name w:val="ListLabel 206"/>
    <w:qFormat/>
    <w:rPr>
      <w:rFonts w:cs="Wingdings"/>
    </w:rPr>
  </w:style>
  <w:style w:type="character" w:styleId="ListLabel207">
    <w:name w:val="ListLabel 207"/>
    <w:qFormat/>
    <w:rPr>
      <w:rFonts w:cs="Symbol"/>
    </w:rPr>
  </w:style>
  <w:style w:type="character" w:styleId="ListLabel208">
    <w:name w:val="ListLabel 208"/>
    <w:qFormat/>
    <w:rPr>
      <w:rFonts w:cs="Courier New"/>
    </w:rPr>
  </w:style>
  <w:style w:type="character" w:styleId="ListLabel209">
    <w:name w:val="ListLabel 209"/>
    <w:qFormat/>
    <w:rPr>
      <w:rFonts w:cs="Wingdings"/>
    </w:rPr>
  </w:style>
  <w:style w:type="character" w:styleId="ListLabel210">
    <w:name w:val="ListLabel 210"/>
    <w:qFormat/>
    <w:rPr>
      <w:rFonts w:ascii="Bookman Old Style" w:hAnsi="Bookman Old Style" w:cs="Courier New"/>
      <w:b/>
      <w:sz w:val="24"/>
    </w:rPr>
  </w:style>
  <w:style w:type="character" w:styleId="ListLabel211">
    <w:name w:val="ListLabel 211"/>
    <w:qFormat/>
    <w:rPr>
      <w:rFonts w:cs="Courier New"/>
    </w:rPr>
  </w:style>
  <w:style w:type="character" w:styleId="ListLabel212">
    <w:name w:val="ListLabel 212"/>
    <w:qFormat/>
    <w:rPr>
      <w:rFonts w:cs="Wingdings"/>
    </w:rPr>
  </w:style>
  <w:style w:type="character" w:styleId="ListLabel213">
    <w:name w:val="ListLabel 213"/>
    <w:qFormat/>
    <w:rPr>
      <w:rFonts w:cs="Symbol"/>
    </w:rPr>
  </w:style>
  <w:style w:type="character" w:styleId="ListLabel214">
    <w:name w:val="ListLabel 214"/>
    <w:qFormat/>
    <w:rPr>
      <w:rFonts w:cs="Courier New"/>
    </w:rPr>
  </w:style>
  <w:style w:type="character" w:styleId="ListLabel215">
    <w:name w:val="ListLabel 215"/>
    <w:qFormat/>
    <w:rPr>
      <w:rFonts w:cs="Wingdings"/>
    </w:rPr>
  </w:style>
  <w:style w:type="character" w:styleId="ListLabel216">
    <w:name w:val="ListLabel 216"/>
    <w:qFormat/>
    <w:rPr>
      <w:rFonts w:cs="Symbol"/>
    </w:rPr>
  </w:style>
  <w:style w:type="character" w:styleId="ListLabel217">
    <w:name w:val="ListLabel 217"/>
    <w:qFormat/>
    <w:rPr>
      <w:rFonts w:cs="Courier New"/>
    </w:rPr>
  </w:style>
  <w:style w:type="character" w:styleId="ListLabel218">
    <w:name w:val="ListLabel 218"/>
    <w:qFormat/>
    <w:rPr>
      <w:rFonts w:cs="Wingdings"/>
    </w:rPr>
  </w:style>
  <w:style w:type="character" w:styleId="ListLabel219">
    <w:name w:val="ListLabel 219"/>
    <w:qFormat/>
    <w:rPr>
      <w:rFonts w:ascii="Bookman Old Style" w:hAnsi="Bookman Old Style" w:cs="Courier New"/>
      <w:sz w:val="24"/>
    </w:rPr>
  </w:style>
  <w:style w:type="character" w:styleId="ListLabel220">
    <w:name w:val="ListLabel 220"/>
    <w:qFormat/>
    <w:rPr>
      <w:rFonts w:cs="Courier New"/>
    </w:rPr>
  </w:style>
  <w:style w:type="character" w:styleId="ListLabel221">
    <w:name w:val="ListLabel 221"/>
    <w:qFormat/>
    <w:rPr>
      <w:rFonts w:cs="Wingdings"/>
    </w:rPr>
  </w:style>
  <w:style w:type="character" w:styleId="ListLabel222">
    <w:name w:val="ListLabel 222"/>
    <w:qFormat/>
    <w:rPr>
      <w:rFonts w:cs="Symbol"/>
    </w:rPr>
  </w:style>
  <w:style w:type="character" w:styleId="ListLabel223">
    <w:name w:val="ListLabel 223"/>
    <w:qFormat/>
    <w:rPr>
      <w:rFonts w:cs="Courier New"/>
    </w:rPr>
  </w:style>
  <w:style w:type="character" w:styleId="ListLabel224">
    <w:name w:val="ListLabel 224"/>
    <w:qFormat/>
    <w:rPr>
      <w:rFonts w:cs="Wingdings"/>
    </w:rPr>
  </w:style>
  <w:style w:type="character" w:styleId="ListLabel225">
    <w:name w:val="ListLabel 225"/>
    <w:qFormat/>
    <w:rPr>
      <w:rFonts w:cs="Symbol"/>
    </w:rPr>
  </w:style>
  <w:style w:type="character" w:styleId="ListLabel226">
    <w:name w:val="ListLabel 226"/>
    <w:qFormat/>
    <w:rPr>
      <w:rFonts w:cs="Courier New"/>
    </w:rPr>
  </w:style>
  <w:style w:type="character" w:styleId="ListLabel227">
    <w:name w:val="ListLabel 227"/>
    <w:qFormat/>
    <w:rPr>
      <w:rFonts w:cs="Wingdings"/>
    </w:rPr>
  </w:style>
  <w:style w:type="character" w:styleId="ListLabel228">
    <w:name w:val="ListLabel 228"/>
    <w:qFormat/>
    <w:rPr>
      <w:rFonts w:ascii="Bookman Old Style" w:hAnsi="Bookman Old Style" w:cs="Courier New"/>
      <w:b/>
      <w:sz w:val="24"/>
    </w:rPr>
  </w:style>
  <w:style w:type="character" w:styleId="ListLabel229">
    <w:name w:val="ListLabel 229"/>
    <w:qFormat/>
    <w:rPr>
      <w:rFonts w:cs="Courier New"/>
    </w:rPr>
  </w:style>
  <w:style w:type="character" w:styleId="ListLabel230">
    <w:name w:val="ListLabel 230"/>
    <w:qFormat/>
    <w:rPr>
      <w:rFonts w:cs="Wingdings"/>
    </w:rPr>
  </w:style>
  <w:style w:type="character" w:styleId="ListLabel231">
    <w:name w:val="ListLabel 231"/>
    <w:qFormat/>
    <w:rPr>
      <w:rFonts w:cs="Symbol"/>
    </w:rPr>
  </w:style>
  <w:style w:type="character" w:styleId="ListLabel232">
    <w:name w:val="ListLabel 232"/>
    <w:qFormat/>
    <w:rPr>
      <w:rFonts w:cs="Courier New"/>
    </w:rPr>
  </w:style>
  <w:style w:type="character" w:styleId="ListLabel233">
    <w:name w:val="ListLabel 233"/>
    <w:qFormat/>
    <w:rPr>
      <w:rFonts w:cs="Wingdings"/>
    </w:rPr>
  </w:style>
  <w:style w:type="character" w:styleId="ListLabel234">
    <w:name w:val="ListLabel 234"/>
    <w:qFormat/>
    <w:rPr>
      <w:rFonts w:cs="Symbol"/>
    </w:rPr>
  </w:style>
  <w:style w:type="character" w:styleId="ListLabel235">
    <w:name w:val="ListLabel 235"/>
    <w:qFormat/>
    <w:rPr>
      <w:rFonts w:cs="Courier New"/>
    </w:rPr>
  </w:style>
  <w:style w:type="character" w:styleId="ListLabel236">
    <w:name w:val="ListLabel 236"/>
    <w:qFormat/>
    <w:rPr>
      <w:rFonts w:cs="Wingdings"/>
    </w:rPr>
  </w:style>
  <w:style w:type="character" w:styleId="ListLabel237">
    <w:name w:val="ListLabel 237"/>
    <w:qFormat/>
    <w:rPr>
      <w:rFonts w:ascii="Bookman Old Style" w:hAnsi="Bookman Old Style" w:cs="Courier New"/>
      <w:sz w:val="24"/>
    </w:rPr>
  </w:style>
  <w:style w:type="character" w:styleId="ListLabel238">
    <w:name w:val="ListLabel 238"/>
    <w:qFormat/>
    <w:rPr>
      <w:rFonts w:cs="Courier New"/>
    </w:rPr>
  </w:style>
  <w:style w:type="character" w:styleId="ListLabel239">
    <w:name w:val="ListLabel 239"/>
    <w:qFormat/>
    <w:rPr>
      <w:rFonts w:cs="Wingdings"/>
    </w:rPr>
  </w:style>
  <w:style w:type="character" w:styleId="ListLabel240">
    <w:name w:val="ListLabel 240"/>
    <w:qFormat/>
    <w:rPr>
      <w:rFonts w:cs="Symbol"/>
    </w:rPr>
  </w:style>
  <w:style w:type="character" w:styleId="ListLabel241">
    <w:name w:val="ListLabel 241"/>
    <w:qFormat/>
    <w:rPr>
      <w:rFonts w:cs="Courier New"/>
    </w:rPr>
  </w:style>
  <w:style w:type="character" w:styleId="ListLabel242">
    <w:name w:val="ListLabel 242"/>
    <w:qFormat/>
    <w:rPr>
      <w:rFonts w:cs="Wingdings"/>
    </w:rPr>
  </w:style>
  <w:style w:type="character" w:styleId="ListLabel243">
    <w:name w:val="ListLabel 243"/>
    <w:qFormat/>
    <w:rPr>
      <w:rFonts w:cs="Symbol"/>
    </w:rPr>
  </w:style>
  <w:style w:type="character" w:styleId="ListLabel244">
    <w:name w:val="ListLabel 244"/>
    <w:qFormat/>
    <w:rPr>
      <w:rFonts w:cs="Courier New"/>
    </w:rPr>
  </w:style>
  <w:style w:type="character" w:styleId="ListLabel245">
    <w:name w:val="ListLabel 245"/>
    <w:qFormat/>
    <w:rPr>
      <w:rFonts w:cs="Wingdings"/>
    </w:rPr>
  </w:style>
  <w:style w:type="character" w:styleId="ListLabel246">
    <w:name w:val="ListLabel 246"/>
    <w:qFormat/>
    <w:rPr>
      <w:rFonts w:ascii="Bookman Old Style" w:hAnsi="Bookman Old Style" w:cs="Courier New"/>
      <w:b/>
      <w:sz w:val="24"/>
    </w:rPr>
  </w:style>
  <w:style w:type="character" w:styleId="ListLabel247">
    <w:name w:val="ListLabel 247"/>
    <w:qFormat/>
    <w:rPr>
      <w:rFonts w:cs="Courier New"/>
    </w:rPr>
  </w:style>
  <w:style w:type="character" w:styleId="ListLabel248">
    <w:name w:val="ListLabel 248"/>
    <w:qFormat/>
    <w:rPr>
      <w:rFonts w:cs="Wingdings"/>
    </w:rPr>
  </w:style>
  <w:style w:type="character" w:styleId="ListLabel249">
    <w:name w:val="ListLabel 249"/>
    <w:qFormat/>
    <w:rPr>
      <w:rFonts w:cs="Symbol"/>
    </w:rPr>
  </w:style>
  <w:style w:type="character" w:styleId="ListLabel250">
    <w:name w:val="ListLabel 250"/>
    <w:qFormat/>
    <w:rPr>
      <w:rFonts w:cs="Courier New"/>
    </w:rPr>
  </w:style>
  <w:style w:type="character" w:styleId="ListLabel251">
    <w:name w:val="ListLabel 251"/>
    <w:qFormat/>
    <w:rPr>
      <w:rFonts w:cs="Wingdings"/>
    </w:rPr>
  </w:style>
  <w:style w:type="character" w:styleId="ListLabel252">
    <w:name w:val="ListLabel 252"/>
    <w:qFormat/>
    <w:rPr>
      <w:rFonts w:cs="Symbol"/>
    </w:rPr>
  </w:style>
  <w:style w:type="character" w:styleId="ListLabel253">
    <w:name w:val="ListLabel 253"/>
    <w:qFormat/>
    <w:rPr>
      <w:rFonts w:cs="Courier New"/>
    </w:rPr>
  </w:style>
  <w:style w:type="character" w:styleId="ListLabel254">
    <w:name w:val="ListLabel 254"/>
    <w:qFormat/>
    <w:rPr>
      <w:rFonts w:cs="Wingdings"/>
    </w:rPr>
  </w:style>
  <w:style w:type="character" w:styleId="ListLabel255">
    <w:name w:val="ListLabel 255"/>
    <w:qFormat/>
    <w:rPr>
      <w:rFonts w:ascii="Bookman Old Style" w:hAnsi="Bookman Old Style" w:cs="Courier New"/>
      <w:sz w:val="24"/>
    </w:rPr>
  </w:style>
  <w:style w:type="character" w:styleId="ListLabel256">
    <w:name w:val="ListLabel 256"/>
    <w:qFormat/>
    <w:rPr>
      <w:rFonts w:cs="Courier New"/>
    </w:rPr>
  </w:style>
  <w:style w:type="character" w:styleId="ListLabel257">
    <w:name w:val="ListLabel 257"/>
    <w:qFormat/>
    <w:rPr>
      <w:rFonts w:cs="Wingdings"/>
    </w:rPr>
  </w:style>
  <w:style w:type="character" w:styleId="ListLabel258">
    <w:name w:val="ListLabel 258"/>
    <w:qFormat/>
    <w:rPr>
      <w:rFonts w:cs="Symbol"/>
    </w:rPr>
  </w:style>
  <w:style w:type="character" w:styleId="ListLabel259">
    <w:name w:val="ListLabel 259"/>
    <w:qFormat/>
    <w:rPr>
      <w:rFonts w:cs="Courier New"/>
    </w:rPr>
  </w:style>
  <w:style w:type="character" w:styleId="ListLabel260">
    <w:name w:val="ListLabel 260"/>
    <w:qFormat/>
    <w:rPr>
      <w:rFonts w:cs="Wingdings"/>
    </w:rPr>
  </w:style>
  <w:style w:type="character" w:styleId="ListLabel261">
    <w:name w:val="ListLabel 261"/>
    <w:qFormat/>
    <w:rPr>
      <w:rFonts w:cs="Symbol"/>
    </w:rPr>
  </w:style>
  <w:style w:type="character" w:styleId="ListLabel262">
    <w:name w:val="ListLabel 262"/>
    <w:qFormat/>
    <w:rPr>
      <w:rFonts w:cs="Courier New"/>
    </w:rPr>
  </w:style>
  <w:style w:type="character" w:styleId="ListLabel263">
    <w:name w:val="ListLabel 263"/>
    <w:qFormat/>
    <w:rPr>
      <w:rFonts w:cs="Wingdings"/>
    </w:rPr>
  </w:style>
  <w:style w:type="character" w:styleId="ListLabel264">
    <w:name w:val="ListLabel 264"/>
    <w:qFormat/>
    <w:rPr>
      <w:rFonts w:ascii="Bookman Old Style" w:hAnsi="Bookman Old Style" w:cs="Courier New"/>
      <w:b/>
      <w:sz w:val="24"/>
    </w:rPr>
  </w:style>
  <w:style w:type="character" w:styleId="ListLabel265">
    <w:name w:val="ListLabel 265"/>
    <w:qFormat/>
    <w:rPr>
      <w:rFonts w:cs="Courier New"/>
    </w:rPr>
  </w:style>
  <w:style w:type="character" w:styleId="ListLabel266">
    <w:name w:val="ListLabel 266"/>
    <w:qFormat/>
    <w:rPr>
      <w:rFonts w:cs="Wingdings"/>
    </w:rPr>
  </w:style>
  <w:style w:type="character" w:styleId="ListLabel267">
    <w:name w:val="ListLabel 267"/>
    <w:qFormat/>
    <w:rPr>
      <w:rFonts w:cs="Symbol"/>
    </w:rPr>
  </w:style>
  <w:style w:type="character" w:styleId="ListLabel268">
    <w:name w:val="ListLabel 268"/>
    <w:qFormat/>
    <w:rPr>
      <w:rFonts w:cs="Courier New"/>
    </w:rPr>
  </w:style>
  <w:style w:type="character" w:styleId="ListLabel269">
    <w:name w:val="ListLabel 269"/>
    <w:qFormat/>
    <w:rPr>
      <w:rFonts w:cs="Wingdings"/>
    </w:rPr>
  </w:style>
  <w:style w:type="character" w:styleId="ListLabel270">
    <w:name w:val="ListLabel 270"/>
    <w:qFormat/>
    <w:rPr>
      <w:rFonts w:cs="Symbol"/>
    </w:rPr>
  </w:style>
  <w:style w:type="character" w:styleId="ListLabel271">
    <w:name w:val="ListLabel 271"/>
    <w:qFormat/>
    <w:rPr>
      <w:rFonts w:cs="Courier New"/>
    </w:rPr>
  </w:style>
  <w:style w:type="character" w:styleId="ListLabel272">
    <w:name w:val="ListLabel 272"/>
    <w:qFormat/>
    <w:rPr>
      <w:rFonts w:cs="Wingdings"/>
    </w:rPr>
  </w:style>
  <w:style w:type="character" w:styleId="ListLabel273">
    <w:name w:val="ListLabel 273"/>
    <w:qFormat/>
    <w:rPr>
      <w:rFonts w:ascii="Bookman Old Style" w:hAnsi="Bookman Old Style" w:cs="Courier New"/>
      <w:sz w:val="24"/>
    </w:rPr>
  </w:style>
  <w:style w:type="character" w:styleId="ListLabel274">
    <w:name w:val="ListLabel 274"/>
    <w:qFormat/>
    <w:rPr>
      <w:rFonts w:cs="Courier New"/>
    </w:rPr>
  </w:style>
  <w:style w:type="character" w:styleId="ListLabel275">
    <w:name w:val="ListLabel 275"/>
    <w:qFormat/>
    <w:rPr>
      <w:rFonts w:cs="Wingdings"/>
    </w:rPr>
  </w:style>
  <w:style w:type="character" w:styleId="ListLabel276">
    <w:name w:val="ListLabel 276"/>
    <w:qFormat/>
    <w:rPr>
      <w:rFonts w:cs="Symbol"/>
    </w:rPr>
  </w:style>
  <w:style w:type="character" w:styleId="ListLabel277">
    <w:name w:val="ListLabel 277"/>
    <w:qFormat/>
    <w:rPr>
      <w:rFonts w:cs="Courier New"/>
    </w:rPr>
  </w:style>
  <w:style w:type="character" w:styleId="ListLabel278">
    <w:name w:val="ListLabel 278"/>
    <w:qFormat/>
    <w:rPr>
      <w:rFonts w:cs="Wingdings"/>
    </w:rPr>
  </w:style>
  <w:style w:type="character" w:styleId="ListLabel279">
    <w:name w:val="ListLabel 279"/>
    <w:qFormat/>
    <w:rPr>
      <w:rFonts w:cs="Symbol"/>
    </w:rPr>
  </w:style>
  <w:style w:type="character" w:styleId="ListLabel280">
    <w:name w:val="ListLabel 280"/>
    <w:qFormat/>
    <w:rPr>
      <w:rFonts w:cs="Courier New"/>
    </w:rPr>
  </w:style>
  <w:style w:type="character" w:styleId="ListLabel281">
    <w:name w:val="ListLabel 281"/>
    <w:qFormat/>
    <w:rPr>
      <w:rFonts w:cs="Wingdings"/>
    </w:rPr>
  </w:style>
  <w:style w:type="character" w:styleId="ListLabel282">
    <w:name w:val="ListLabel 282"/>
    <w:qFormat/>
    <w:rPr>
      <w:rFonts w:ascii="Bookman Old Style" w:hAnsi="Bookman Old Style" w:cs="Courier New"/>
      <w:b/>
      <w:sz w:val="24"/>
    </w:rPr>
  </w:style>
  <w:style w:type="character" w:styleId="ListLabel283">
    <w:name w:val="ListLabel 283"/>
    <w:qFormat/>
    <w:rPr>
      <w:rFonts w:cs="Courier New"/>
    </w:rPr>
  </w:style>
  <w:style w:type="character" w:styleId="ListLabel284">
    <w:name w:val="ListLabel 284"/>
    <w:qFormat/>
    <w:rPr>
      <w:rFonts w:cs="Wingdings"/>
    </w:rPr>
  </w:style>
  <w:style w:type="character" w:styleId="ListLabel285">
    <w:name w:val="ListLabel 285"/>
    <w:qFormat/>
    <w:rPr>
      <w:rFonts w:cs="Symbol"/>
    </w:rPr>
  </w:style>
  <w:style w:type="character" w:styleId="ListLabel286">
    <w:name w:val="ListLabel 286"/>
    <w:qFormat/>
    <w:rPr>
      <w:rFonts w:cs="Courier New"/>
    </w:rPr>
  </w:style>
  <w:style w:type="character" w:styleId="ListLabel287">
    <w:name w:val="ListLabel 287"/>
    <w:qFormat/>
    <w:rPr>
      <w:rFonts w:cs="Wingdings"/>
    </w:rPr>
  </w:style>
  <w:style w:type="character" w:styleId="ListLabel288">
    <w:name w:val="ListLabel 288"/>
    <w:qFormat/>
    <w:rPr>
      <w:rFonts w:cs="Symbol"/>
    </w:rPr>
  </w:style>
  <w:style w:type="character" w:styleId="ListLabel289">
    <w:name w:val="ListLabel 289"/>
    <w:qFormat/>
    <w:rPr>
      <w:rFonts w:cs="Courier New"/>
    </w:rPr>
  </w:style>
  <w:style w:type="character" w:styleId="ListLabel290">
    <w:name w:val="ListLabel 290"/>
    <w:qFormat/>
    <w:rPr>
      <w:rFonts w:cs="Wingdings"/>
    </w:rPr>
  </w:style>
  <w:style w:type="character" w:styleId="ListLabel291">
    <w:name w:val="ListLabel 291"/>
    <w:qFormat/>
    <w:rPr>
      <w:rFonts w:ascii="Bookman Old Style" w:hAnsi="Bookman Old Style" w:cs="Courier New"/>
      <w:sz w:val="24"/>
    </w:rPr>
  </w:style>
  <w:style w:type="character" w:styleId="ListLabel292">
    <w:name w:val="ListLabel 292"/>
    <w:qFormat/>
    <w:rPr>
      <w:rFonts w:cs="Courier New"/>
    </w:rPr>
  </w:style>
  <w:style w:type="character" w:styleId="ListLabel293">
    <w:name w:val="ListLabel 293"/>
    <w:qFormat/>
    <w:rPr>
      <w:rFonts w:cs="Wingdings"/>
    </w:rPr>
  </w:style>
  <w:style w:type="character" w:styleId="ListLabel294">
    <w:name w:val="ListLabel 294"/>
    <w:qFormat/>
    <w:rPr>
      <w:rFonts w:cs="Symbol"/>
    </w:rPr>
  </w:style>
  <w:style w:type="character" w:styleId="ListLabel295">
    <w:name w:val="ListLabel 295"/>
    <w:qFormat/>
    <w:rPr>
      <w:rFonts w:cs="Courier New"/>
    </w:rPr>
  </w:style>
  <w:style w:type="character" w:styleId="ListLabel296">
    <w:name w:val="ListLabel 296"/>
    <w:qFormat/>
    <w:rPr>
      <w:rFonts w:cs="Wingdings"/>
    </w:rPr>
  </w:style>
  <w:style w:type="character" w:styleId="ListLabel297">
    <w:name w:val="ListLabel 297"/>
    <w:qFormat/>
    <w:rPr>
      <w:rFonts w:cs="Symbol"/>
    </w:rPr>
  </w:style>
  <w:style w:type="character" w:styleId="ListLabel298">
    <w:name w:val="ListLabel 298"/>
    <w:qFormat/>
    <w:rPr>
      <w:rFonts w:cs="Courier New"/>
    </w:rPr>
  </w:style>
  <w:style w:type="character" w:styleId="ListLabel299">
    <w:name w:val="ListLabel 299"/>
    <w:qFormat/>
    <w:rPr>
      <w:rFonts w:cs="Wingdings"/>
    </w:rPr>
  </w:style>
  <w:style w:type="character" w:styleId="ListLabel300">
    <w:name w:val="ListLabel 300"/>
    <w:qFormat/>
    <w:rPr>
      <w:rFonts w:ascii="Bookman Old Style" w:hAnsi="Bookman Old Style" w:cs="Courier New"/>
      <w:b/>
      <w:sz w:val="24"/>
    </w:rPr>
  </w:style>
  <w:style w:type="character" w:styleId="ListLabel301">
    <w:name w:val="ListLabel 301"/>
    <w:qFormat/>
    <w:rPr>
      <w:rFonts w:cs="Courier New"/>
    </w:rPr>
  </w:style>
  <w:style w:type="character" w:styleId="ListLabel302">
    <w:name w:val="ListLabel 302"/>
    <w:qFormat/>
    <w:rPr>
      <w:rFonts w:cs="Wingdings"/>
    </w:rPr>
  </w:style>
  <w:style w:type="character" w:styleId="ListLabel303">
    <w:name w:val="ListLabel 303"/>
    <w:qFormat/>
    <w:rPr>
      <w:rFonts w:cs="Symbol"/>
    </w:rPr>
  </w:style>
  <w:style w:type="character" w:styleId="ListLabel304">
    <w:name w:val="ListLabel 304"/>
    <w:qFormat/>
    <w:rPr>
      <w:rFonts w:cs="Courier New"/>
    </w:rPr>
  </w:style>
  <w:style w:type="character" w:styleId="ListLabel305">
    <w:name w:val="ListLabel 305"/>
    <w:qFormat/>
    <w:rPr>
      <w:rFonts w:cs="Wingdings"/>
    </w:rPr>
  </w:style>
  <w:style w:type="character" w:styleId="ListLabel306">
    <w:name w:val="ListLabel 306"/>
    <w:qFormat/>
    <w:rPr>
      <w:rFonts w:cs="Symbol"/>
    </w:rPr>
  </w:style>
  <w:style w:type="character" w:styleId="ListLabel307">
    <w:name w:val="ListLabel 307"/>
    <w:qFormat/>
    <w:rPr>
      <w:rFonts w:cs="Courier New"/>
    </w:rPr>
  </w:style>
  <w:style w:type="character" w:styleId="ListLabel308">
    <w:name w:val="ListLabel 308"/>
    <w:qFormat/>
    <w:rPr>
      <w:rFonts w:cs="Wingdings"/>
    </w:rPr>
  </w:style>
  <w:style w:type="character" w:styleId="ListLabel309">
    <w:name w:val="ListLabel 309"/>
    <w:qFormat/>
    <w:rPr>
      <w:rFonts w:ascii="Bookman Old Style" w:hAnsi="Bookman Old Style" w:cs="Courier New"/>
      <w:sz w:val="24"/>
    </w:rPr>
  </w:style>
  <w:style w:type="character" w:styleId="ListLabel310">
    <w:name w:val="ListLabel 310"/>
    <w:qFormat/>
    <w:rPr>
      <w:rFonts w:cs="Courier New"/>
    </w:rPr>
  </w:style>
  <w:style w:type="character" w:styleId="ListLabel311">
    <w:name w:val="ListLabel 311"/>
    <w:qFormat/>
    <w:rPr>
      <w:rFonts w:cs="Wingdings"/>
    </w:rPr>
  </w:style>
  <w:style w:type="character" w:styleId="ListLabel312">
    <w:name w:val="ListLabel 312"/>
    <w:qFormat/>
    <w:rPr>
      <w:rFonts w:cs="Symbol"/>
    </w:rPr>
  </w:style>
  <w:style w:type="character" w:styleId="ListLabel313">
    <w:name w:val="ListLabel 313"/>
    <w:qFormat/>
    <w:rPr>
      <w:rFonts w:cs="Courier New"/>
    </w:rPr>
  </w:style>
  <w:style w:type="character" w:styleId="ListLabel314">
    <w:name w:val="ListLabel 314"/>
    <w:qFormat/>
    <w:rPr>
      <w:rFonts w:cs="Wingdings"/>
    </w:rPr>
  </w:style>
  <w:style w:type="character" w:styleId="ListLabel315">
    <w:name w:val="ListLabel 315"/>
    <w:qFormat/>
    <w:rPr>
      <w:rFonts w:cs="Symbol"/>
    </w:rPr>
  </w:style>
  <w:style w:type="character" w:styleId="ListLabel316">
    <w:name w:val="ListLabel 316"/>
    <w:qFormat/>
    <w:rPr>
      <w:rFonts w:cs="Courier New"/>
    </w:rPr>
  </w:style>
  <w:style w:type="character" w:styleId="ListLabel317">
    <w:name w:val="ListLabel 317"/>
    <w:qFormat/>
    <w:rPr>
      <w:rFonts w:cs="Wingdings"/>
    </w:rPr>
  </w:style>
  <w:style w:type="character" w:styleId="ListLabel318">
    <w:name w:val="ListLabel 318"/>
    <w:qFormat/>
    <w:rPr>
      <w:rFonts w:ascii="Bookman Old Style" w:hAnsi="Bookman Old Style" w:cs="Courier New"/>
      <w:b/>
      <w:sz w:val="24"/>
    </w:rPr>
  </w:style>
  <w:style w:type="character" w:styleId="ListLabel319">
    <w:name w:val="ListLabel 319"/>
    <w:qFormat/>
    <w:rPr>
      <w:rFonts w:cs="Courier New"/>
    </w:rPr>
  </w:style>
  <w:style w:type="character" w:styleId="ListLabel320">
    <w:name w:val="ListLabel 320"/>
    <w:qFormat/>
    <w:rPr>
      <w:rFonts w:cs="Wingdings"/>
    </w:rPr>
  </w:style>
  <w:style w:type="character" w:styleId="ListLabel321">
    <w:name w:val="ListLabel 321"/>
    <w:qFormat/>
    <w:rPr>
      <w:rFonts w:cs="Symbol"/>
    </w:rPr>
  </w:style>
  <w:style w:type="character" w:styleId="ListLabel322">
    <w:name w:val="ListLabel 322"/>
    <w:qFormat/>
    <w:rPr>
      <w:rFonts w:cs="Courier New"/>
    </w:rPr>
  </w:style>
  <w:style w:type="character" w:styleId="ListLabel323">
    <w:name w:val="ListLabel 323"/>
    <w:qFormat/>
    <w:rPr>
      <w:rFonts w:cs="Wingdings"/>
    </w:rPr>
  </w:style>
  <w:style w:type="character" w:styleId="ListLabel324">
    <w:name w:val="ListLabel 324"/>
    <w:qFormat/>
    <w:rPr>
      <w:rFonts w:cs="Symbol"/>
    </w:rPr>
  </w:style>
  <w:style w:type="character" w:styleId="ListLabel325">
    <w:name w:val="ListLabel 325"/>
    <w:qFormat/>
    <w:rPr>
      <w:rFonts w:cs="Courier New"/>
    </w:rPr>
  </w:style>
  <w:style w:type="character" w:styleId="ListLabel326">
    <w:name w:val="ListLabel 326"/>
    <w:qFormat/>
    <w:rPr>
      <w:rFonts w:cs="Wingdings"/>
    </w:rPr>
  </w:style>
  <w:style w:type="character" w:styleId="ListLabel327">
    <w:name w:val="ListLabel 327"/>
    <w:qFormat/>
    <w:rPr>
      <w:rFonts w:ascii="Bookman Old Style" w:hAnsi="Bookman Old Style" w:cs="Courier New"/>
      <w:sz w:val="24"/>
    </w:rPr>
  </w:style>
  <w:style w:type="character" w:styleId="ListLabel328">
    <w:name w:val="ListLabel 328"/>
    <w:qFormat/>
    <w:rPr>
      <w:rFonts w:cs="Courier New"/>
    </w:rPr>
  </w:style>
  <w:style w:type="character" w:styleId="ListLabel329">
    <w:name w:val="ListLabel 329"/>
    <w:qFormat/>
    <w:rPr>
      <w:rFonts w:cs="Wingdings"/>
    </w:rPr>
  </w:style>
  <w:style w:type="character" w:styleId="ListLabel330">
    <w:name w:val="ListLabel 330"/>
    <w:qFormat/>
    <w:rPr>
      <w:rFonts w:cs="Symbol"/>
    </w:rPr>
  </w:style>
  <w:style w:type="character" w:styleId="ListLabel331">
    <w:name w:val="ListLabel 331"/>
    <w:qFormat/>
    <w:rPr>
      <w:rFonts w:cs="Courier New"/>
    </w:rPr>
  </w:style>
  <w:style w:type="character" w:styleId="ListLabel332">
    <w:name w:val="ListLabel 332"/>
    <w:qFormat/>
    <w:rPr>
      <w:rFonts w:cs="Wingdings"/>
    </w:rPr>
  </w:style>
  <w:style w:type="character" w:styleId="ListLabel333">
    <w:name w:val="ListLabel 333"/>
    <w:qFormat/>
    <w:rPr>
      <w:rFonts w:cs="Symbol"/>
    </w:rPr>
  </w:style>
  <w:style w:type="character" w:styleId="ListLabel334">
    <w:name w:val="ListLabel 334"/>
    <w:qFormat/>
    <w:rPr>
      <w:rFonts w:cs="Courier New"/>
    </w:rPr>
  </w:style>
  <w:style w:type="character" w:styleId="ListLabel335">
    <w:name w:val="ListLabel 335"/>
    <w:qFormat/>
    <w:rPr>
      <w:rFonts w:cs="Wingdings"/>
    </w:rPr>
  </w:style>
  <w:style w:type="character" w:styleId="ListLabel336">
    <w:name w:val="ListLabel 336"/>
    <w:qFormat/>
    <w:rPr>
      <w:rFonts w:ascii="Bookman Old Style" w:hAnsi="Bookman Old Style" w:cs="Courier New"/>
      <w:b/>
      <w:sz w:val="24"/>
    </w:rPr>
  </w:style>
  <w:style w:type="character" w:styleId="ListLabel337">
    <w:name w:val="ListLabel 337"/>
    <w:qFormat/>
    <w:rPr>
      <w:rFonts w:cs="Courier New"/>
    </w:rPr>
  </w:style>
  <w:style w:type="character" w:styleId="ListLabel338">
    <w:name w:val="ListLabel 338"/>
    <w:qFormat/>
    <w:rPr>
      <w:rFonts w:cs="Wingdings"/>
    </w:rPr>
  </w:style>
  <w:style w:type="character" w:styleId="ListLabel339">
    <w:name w:val="ListLabel 339"/>
    <w:qFormat/>
    <w:rPr>
      <w:rFonts w:cs="Symbol"/>
    </w:rPr>
  </w:style>
  <w:style w:type="character" w:styleId="ListLabel340">
    <w:name w:val="ListLabel 340"/>
    <w:qFormat/>
    <w:rPr>
      <w:rFonts w:cs="Courier New"/>
    </w:rPr>
  </w:style>
  <w:style w:type="character" w:styleId="ListLabel341">
    <w:name w:val="ListLabel 341"/>
    <w:qFormat/>
    <w:rPr>
      <w:rFonts w:cs="Wingdings"/>
    </w:rPr>
  </w:style>
  <w:style w:type="character" w:styleId="ListLabel342">
    <w:name w:val="ListLabel 342"/>
    <w:qFormat/>
    <w:rPr>
      <w:rFonts w:cs="Symbol"/>
    </w:rPr>
  </w:style>
  <w:style w:type="character" w:styleId="ListLabel343">
    <w:name w:val="ListLabel 343"/>
    <w:qFormat/>
    <w:rPr>
      <w:rFonts w:cs="Courier New"/>
    </w:rPr>
  </w:style>
  <w:style w:type="character" w:styleId="ListLabel344">
    <w:name w:val="ListLabel 344"/>
    <w:qFormat/>
    <w:rPr>
      <w:rFonts w:cs="Wingdings"/>
    </w:rPr>
  </w:style>
  <w:style w:type="character" w:styleId="ListLabel345">
    <w:name w:val="ListLabel 345"/>
    <w:qFormat/>
    <w:rPr>
      <w:rFonts w:ascii="Bookman Old Style" w:hAnsi="Bookman Old Style" w:cs="Courier New"/>
      <w:sz w:val="24"/>
    </w:rPr>
  </w:style>
  <w:style w:type="character" w:styleId="ListLabel346">
    <w:name w:val="ListLabel 346"/>
    <w:qFormat/>
    <w:rPr>
      <w:rFonts w:cs="Courier New"/>
    </w:rPr>
  </w:style>
  <w:style w:type="character" w:styleId="ListLabel347">
    <w:name w:val="ListLabel 347"/>
    <w:qFormat/>
    <w:rPr>
      <w:rFonts w:cs="Wingdings"/>
    </w:rPr>
  </w:style>
  <w:style w:type="character" w:styleId="ListLabel348">
    <w:name w:val="ListLabel 348"/>
    <w:qFormat/>
    <w:rPr>
      <w:rFonts w:cs="Symbol"/>
    </w:rPr>
  </w:style>
  <w:style w:type="character" w:styleId="ListLabel349">
    <w:name w:val="ListLabel 349"/>
    <w:qFormat/>
    <w:rPr>
      <w:rFonts w:cs="Courier New"/>
    </w:rPr>
  </w:style>
  <w:style w:type="character" w:styleId="ListLabel350">
    <w:name w:val="ListLabel 350"/>
    <w:qFormat/>
    <w:rPr>
      <w:rFonts w:cs="Wingdings"/>
    </w:rPr>
  </w:style>
  <w:style w:type="character" w:styleId="ListLabel351">
    <w:name w:val="ListLabel 351"/>
    <w:qFormat/>
    <w:rPr>
      <w:rFonts w:cs="Symbol"/>
    </w:rPr>
  </w:style>
  <w:style w:type="character" w:styleId="ListLabel352">
    <w:name w:val="ListLabel 352"/>
    <w:qFormat/>
    <w:rPr>
      <w:rFonts w:cs="Courier New"/>
    </w:rPr>
  </w:style>
  <w:style w:type="character" w:styleId="ListLabel353">
    <w:name w:val="ListLabel 353"/>
    <w:qFormat/>
    <w:rPr>
      <w:rFonts w:cs="Wingdings"/>
    </w:rPr>
  </w:style>
  <w:style w:type="character" w:styleId="ListLabel354">
    <w:name w:val="ListLabel 354"/>
    <w:qFormat/>
    <w:rPr>
      <w:rFonts w:ascii="Bookman Old Style" w:hAnsi="Bookman Old Style" w:cs="Courier New"/>
      <w:b/>
      <w:sz w:val="24"/>
    </w:rPr>
  </w:style>
  <w:style w:type="character" w:styleId="ListLabel355">
    <w:name w:val="ListLabel 355"/>
    <w:qFormat/>
    <w:rPr>
      <w:rFonts w:cs="Courier New"/>
    </w:rPr>
  </w:style>
  <w:style w:type="character" w:styleId="ListLabel356">
    <w:name w:val="ListLabel 356"/>
    <w:qFormat/>
    <w:rPr>
      <w:rFonts w:cs="Wingdings"/>
    </w:rPr>
  </w:style>
  <w:style w:type="character" w:styleId="ListLabel357">
    <w:name w:val="ListLabel 357"/>
    <w:qFormat/>
    <w:rPr>
      <w:rFonts w:cs="Symbol"/>
    </w:rPr>
  </w:style>
  <w:style w:type="character" w:styleId="ListLabel358">
    <w:name w:val="ListLabel 358"/>
    <w:qFormat/>
    <w:rPr>
      <w:rFonts w:cs="Courier New"/>
    </w:rPr>
  </w:style>
  <w:style w:type="character" w:styleId="ListLabel359">
    <w:name w:val="ListLabel 359"/>
    <w:qFormat/>
    <w:rPr>
      <w:rFonts w:cs="Wingdings"/>
    </w:rPr>
  </w:style>
  <w:style w:type="character" w:styleId="ListLabel360">
    <w:name w:val="ListLabel 360"/>
    <w:qFormat/>
    <w:rPr>
      <w:rFonts w:cs="Symbol"/>
    </w:rPr>
  </w:style>
  <w:style w:type="character" w:styleId="ListLabel361">
    <w:name w:val="ListLabel 361"/>
    <w:qFormat/>
    <w:rPr>
      <w:rFonts w:cs="Courier New"/>
    </w:rPr>
  </w:style>
  <w:style w:type="character" w:styleId="ListLabel362">
    <w:name w:val="ListLabel 362"/>
    <w:qFormat/>
    <w:rPr>
      <w:rFonts w:cs="Wingdings"/>
    </w:rPr>
  </w:style>
  <w:style w:type="character" w:styleId="ListLabel363">
    <w:name w:val="ListLabel 363"/>
    <w:qFormat/>
    <w:rPr>
      <w:rFonts w:ascii="Bookman Old Style" w:hAnsi="Bookman Old Style" w:cs="Courier New"/>
      <w:sz w:val="24"/>
    </w:rPr>
  </w:style>
  <w:style w:type="character" w:styleId="ListLabel364">
    <w:name w:val="ListLabel 364"/>
    <w:qFormat/>
    <w:rPr>
      <w:rFonts w:cs="Courier New"/>
    </w:rPr>
  </w:style>
  <w:style w:type="character" w:styleId="ListLabel365">
    <w:name w:val="ListLabel 365"/>
    <w:qFormat/>
    <w:rPr>
      <w:rFonts w:cs="Wingdings"/>
    </w:rPr>
  </w:style>
  <w:style w:type="character" w:styleId="ListLabel366">
    <w:name w:val="ListLabel 366"/>
    <w:qFormat/>
    <w:rPr>
      <w:rFonts w:cs="Symbol"/>
    </w:rPr>
  </w:style>
  <w:style w:type="character" w:styleId="ListLabel367">
    <w:name w:val="ListLabel 367"/>
    <w:qFormat/>
    <w:rPr>
      <w:rFonts w:cs="Courier New"/>
    </w:rPr>
  </w:style>
  <w:style w:type="character" w:styleId="ListLabel368">
    <w:name w:val="ListLabel 368"/>
    <w:qFormat/>
    <w:rPr>
      <w:rFonts w:cs="Wingdings"/>
    </w:rPr>
  </w:style>
  <w:style w:type="character" w:styleId="ListLabel369">
    <w:name w:val="ListLabel 369"/>
    <w:qFormat/>
    <w:rPr>
      <w:rFonts w:cs="Symbol"/>
    </w:rPr>
  </w:style>
  <w:style w:type="character" w:styleId="ListLabel370">
    <w:name w:val="ListLabel 370"/>
    <w:qFormat/>
    <w:rPr>
      <w:rFonts w:cs="Courier New"/>
    </w:rPr>
  </w:style>
  <w:style w:type="character" w:styleId="ListLabel371">
    <w:name w:val="ListLabel 371"/>
    <w:qFormat/>
    <w:rPr>
      <w:rFonts w:cs="Wingdings"/>
    </w:rPr>
  </w:style>
  <w:style w:type="character" w:styleId="ListLabel372">
    <w:name w:val="ListLabel 372"/>
    <w:qFormat/>
    <w:rPr>
      <w:rFonts w:ascii="Bookman Old Style" w:hAnsi="Bookman Old Style" w:cs="Courier New"/>
      <w:b/>
      <w:sz w:val="24"/>
    </w:rPr>
  </w:style>
  <w:style w:type="character" w:styleId="ListLabel373">
    <w:name w:val="ListLabel 373"/>
    <w:qFormat/>
    <w:rPr>
      <w:rFonts w:cs="Courier New"/>
    </w:rPr>
  </w:style>
  <w:style w:type="character" w:styleId="ListLabel374">
    <w:name w:val="ListLabel 374"/>
    <w:qFormat/>
    <w:rPr>
      <w:rFonts w:cs="Wingdings"/>
    </w:rPr>
  </w:style>
  <w:style w:type="character" w:styleId="ListLabel375">
    <w:name w:val="ListLabel 375"/>
    <w:qFormat/>
    <w:rPr>
      <w:rFonts w:cs="Symbol"/>
    </w:rPr>
  </w:style>
  <w:style w:type="character" w:styleId="ListLabel376">
    <w:name w:val="ListLabel 376"/>
    <w:qFormat/>
    <w:rPr>
      <w:rFonts w:cs="Courier New"/>
    </w:rPr>
  </w:style>
  <w:style w:type="character" w:styleId="ListLabel377">
    <w:name w:val="ListLabel 377"/>
    <w:qFormat/>
    <w:rPr>
      <w:rFonts w:cs="Wingdings"/>
    </w:rPr>
  </w:style>
  <w:style w:type="character" w:styleId="ListLabel378">
    <w:name w:val="ListLabel 378"/>
    <w:qFormat/>
    <w:rPr>
      <w:rFonts w:cs="Symbol"/>
    </w:rPr>
  </w:style>
  <w:style w:type="character" w:styleId="ListLabel379">
    <w:name w:val="ListLabel 379"/>
    <w:qFormat/>
    <w:rPr>
      <w:rFonts w:cs="Courier New"/>
    </w:rPr>
  </w:style>
  <w:style w:type="character" w:styleId="ListLabel380">
    <w:name w:val="ListLabel 380"/>
    <w:qFormat/>
    <w:rPr>
      <w:rFonts w:cs="Wingdings"/>
    </w:rPr>
  </w:style>
  <w:style w:type="character" w:styleId="ListLabel381">
    <w:name w:val="ListLabel 381"/>
    <w:qFormat/>
    <w:rPr>
      <w:rFonts w:ascii="Bookman Old Style" w:hAnsi="Bookman Old Style" w:cs="Courier New"/>
      <w:sz w:val="24"/>
    </w:rPr>
  </w:style>
  <w:style w:type="character" w:styleId="ListLabel382">
    <w:name w:val="ListLabel 382"/>
    <w:qFormat/>
    <w:rPr>
      <w:rFonts w:cs="Courier New"/>
    </w:rPr>
  </w:style>
  <w:style w:type="character" w:styleId="ListLabel383">
    <w:name w:val="ListLabel 383"/>
    <w:qFormat/>
    <w:rPr>
      <w:rFonts w:cs="Wingdings"/>
    </w:rPr>
  </w:style>
  <w:style w:type="character" w:styleId="ListLabel384">
    <w:name w:val="ListLabel 384"/>
    <w:qFormat/>
    <w:rPr>
      <w:rFonts w:cs="Symbol"/>
    </w:rPr>
  </w:style>
  <w:style w:type="character" w:styleId="ListLabel385">
    <w:name w:val="ListLabel 385"/>
    <w:qFormat/>
    <w:rPr>
      <w:rFonts w:cs="Courier New"/>
    </w:rPr>
  </w:style>
  <w:style w:type="character" w:styleId="ListLabel386">
    <w:name w:val="ListLabel 386"/>
    <w:qFormat/>
    <w:rPr>
      <w:rFonts w:cs="Wingdings"/>
    </w:rPr>
  </w:style>
  <w:style w:type="character" w:styleId="ListLabel387">
    <w:name w:val="ListLabel 387"/>
    <w:qFormat/>
    <w:rPr>
      <w:rFonts w:cs="Symbol"/>
    </w:rPr>
  </w:style>
  <w:style w:type="character" w:styleId="ListLabel388">
    <w:name w:val="ListLabel 388"/>
    <w:qFormat/>
    <w:rPr>
      <w:rFonts w:cs="Courier New"/>
    </w:rPr>
  </w:style>
  <w:style w:type="character" w:styleId="ListLabel389">
    <w:name w:val="ListLabel 389"/>
    <w:qFormat/>
    <w:rPr>
      <w:rFonts w:cs="Wingdings"/>
    </w:rPr>
  </w:style>
  <w:style w:type="character" w:styleId="ListLabel390">
    <w:name w:val="ListLabel 390"/>
    <w:qFormat/>
    <w:rPr>
      <w:rFonts w:ascii="Bookman Old Style" w:hAnsi="Bookman Old Style" w:cs="Courier New"/>
      <w:b/>
      <w:sz w:val="24"/>
    </w:rPr>
  </w:style>
  <w:style w:type="character" w:styleId="ListLabel391">
    <w:name w:val="ListLabel 391"/>
    <w:qFormat/>
    <w:rPr>
      <w:rFonts w:cs="Courier New"/>
    </w:rPr>
  </w:style>
  <w:style w:type="character" w:styleId="ListLabel392">
    <w:name w:val="ListLabel 392"/>
    <w:qFormat/>
    <w:rPr>
      <w:rFonts w:cs="Wingdings"/>
    </w:rPr>
  </w:style>
  <w:style w:type="character" w:styleId="ListLabel393">
    <w:name w:val="ListLabel 393"/>
    <w:qFormat/>
    <w:rPr>
      <w:rFonts w:cs="Symbol"/>
    </w:rPr>
  </w:style>
  <w:style w:type="character" w:styleId="ListLabel394">
    <w:name w:val="ListLabel 394"/>
    <w:qFormat/>
    <w:rPr>
      <w:rFonts w:cs="Courier New"/>
    </w:rPr>
  </w:style>
  <w:style w:type="character" w:styleId="ListLabel395">
    <w:name w:val="ListLabel 395"/>
    <w:qFormat/>
    <w:rPr>
      <w:rFonts w:cs="Wingdings"/>
    </w:rPr>
  </w:style>
  <w:style w:type="character" w:styleId="ListLabel396">
    <w:name w:val="ListLabel 396"/>
    <w:qFormat/>
    <w:rPr>
      <w:rFonts w:cs="Symbol"/>
    </w:rPr>
  </w:style>
  <w:style w:type="character" w:styleId="ListLabel397">
    <w:name w:val="ListLabel 397"/>
    <w:qFormat/>
    <w:rPr>
      <w:rFonts w:cs="Courier New"/>
    </w:rPr>
  </w:style>
  <w:style w:type="character" w:styleId="ListLabel398">
    <w:name w:val="ListLabel 398"/>
    <w:qFormat/>
    <w:rPr>
      <w:rFonts w:cs="Wingdings"/>
    </w:rPr>
  </w:style>
  <w:style w:type="character" w:styleId="ListLabel399">
    <w:name w:val="ListLabel 399"/>
    <w:qFormat/>
    <w:rPr>
      <w:rFonts w:ascii="Bookman Old Style" w:hAnsi="Bookman Old Style" w:cs="Courier New"/>
      <w:sz w:val="24"/>
    </w:rPr>
  </w:style>
  <w:style w:type="character" w:styleId="ListLabel400">
    <w:name w:val="ListLabel 400"/>
    <w:qFormat/>
    <w:rPr>
      <w:rFonts w:cs="Courier New"/>
    </w:rPr>
  </w:style>
  <w:style w:type="character" w:styleId="ListLabel401">
    <w:name w:val="ListLabel 401"/>
    <w:qFormat/>
    <w:rPr>
      <w:rFonts w:cs="Wingdings"/>
    </w:rPr>
  </w:style>
  <w:style w:type="character" w:styleId="ListLabel402">
    <w:name w:val="ListLabel 402"/>
    <w:qFormat/>
    <w:rPr>
      <w:rFonts w:cs="Symbol"/>
    </w:rPr>
  </w:style>
  <w:style w:type="character" w:styleId="ListLabel403">
    <w:name w:val="ListLabel 403"/>
    <w:qFormat/>
    <w:rPr>
      <w:rFonts w:cs="Courier New"/>
    </w:rPr>
  </w:style>
  <w:style w:type="character" w:styleId="ListLabel404">
    <w:name w:val="ListLabel 404"/>
    <w:qFormat/>
    <w:rPr>
      <w:rFonts w:cs="Wingdings"/>
    </w:rPr>
  </w:style>
  <w:style w:type="character" w:styleId="ListLabel405">
    <w:name w:val="ListLabel 405"/>
    <w:qFormat/>
    <w:rPr>
      <w:rFonts w:cs="Symbol"/>
    </w:rPr>
  </w:style>
  <w:style w:type="character" w:styleId="ListLabel406">
    <w:name w:val="ListLabel 406"/>
    <w:qFormat/>
    <w:rPr>
      <w:rFonts w:cs="Courier New"/>
    </w:rPr>
  </w:style>
  <w:style w:type="character" w:styleId="ListLabel407">
    <w:name w:val="ListLabel 407"/>
    <w:qFormat/>
    <w:rPr>
      <w:rFonts w:cs="Wingdings"/>
    </w:rPr>
  </w:style>
  <w:style w:type="character" w:styleId="ListLabel408">
    <w:name w:val="ListLabel 408"/>
    <w:qFormat/>
    <w:rPr>
      <w:rFonts w:ascii="Bookman Old Style" w:hAnsi="Bookman Old Style" w:cs="Courier New"/>
      <w:b/>
      <w:sz w:val="24"/>
    </w:rPr>
  </w:style>
  <w:style w:type="character" w:styleId="ListLabel409">
    <w:name w:val="ListLabel 409"/>
    <w:qFormat/>
    <w:rPr>
      <w:rFonts w:cs="Courier New"/>
    </w:rPr>
  </w:style>
  <w:style w:type="character" w:styleId="ListLabel410">
    <w:name w:val="ListLabel 410"/>
    <w:qFormat/>
    <w:rPr>
      <w:rFonts w:cs="Wingdings"/>
    </w:rPr>
  </w:style>
  <w:style w:type="character" w:styleId="ListLabel411">
    <w:name w:val="ListLabel 411"/>
    <w:qFormat/>
    <w:rPr>
      <w:rFonts w:cs="Symbol"/>
    </w:rPr>
  </w:style>
  <w:style w:type="character" w:styleId="ListLabel412">
    <w:name w:val="ListLabel 412"/>
    <w:qFormat/>
    <w:rPr>
      <w:rFonts w:cs="Courier New"/>
    </w:rPr>
  </w:style>
  <w:style w:type="character" w:styleId="ListLabel413">
    <w:name w:val="ListLabel 413"/>
    <w:qFormat/>
    <w:rPr>
      <w:rFonts w:cs="Wingdings"/>
    </w:rPr>
  </w:style>
  <w:style w:type="character" w:styleId="ListLabel414">
    <w:name w:val="ListLabel 414"/>
    <w:qFormat/>
    <w:rPr>
      <w:rFonts w:cs="Symbol"/>
    </w:rPr>
  </w:style>
  <w:style w:type="character" w:styleId="ListLabel415">
    <w:name w:val="ListLabel 415"/>
    <w:qFormat/>
    <w:rPr>
      <w:rFonts w:cs="Courier New"/>
    </w:rPr>
  </w:style>
  <w:style w:type="character" w:styleId="ListLabel416">
    <w:name w:val="ListLabel 416"/>
    <w:qFormat/>
    <w:rPr>
      <w:rFonts w:cs="Wingdings"/>
    </w:rPr>
  </w:style>
  <w:style w:type="character" w:styleId="ListLabel417">
    <w:name w:val="ListLabel 417"/>
    <w:qFormat/>
    <w:rPr>
      <w:rFonts w:ascii="Bookman Old Style" w:hAnsi="Bookman Old Style" w:cs="Courier New"/>
      <w:sz w:val="24"/>
    </w:rPr>
  </w:style>
  <w:style w:type="character" w:styleId="ListLabel418">
    <w:name w:val="ListLabel 418"/>
    <w:qFormat/>
    <w:rPr>
      <w:rFonts w:cs="Courier New"/>
    </w:rPr>
  </w:style>
  <w:style w:type="character" w:styleId="ListLabel419">
    <w:name w:val="ListLabel 419"/>
    <w:qFormat/>
    <w:rPr>
      <w:rFonts w:cs="Wingdings"/>
    </w:rPr>
  </w:style>
  <w:style w:type="character" w:styleId="ListLabel420">
    <w:name w:val="ListLabel 420"/>
    <w:qFormat/>
    <w:rPr>
      <w:rFonts w:cs="Symbol"/>
    </w:rPr>
  </w:style>
  <w:style w:type="character" w:styleId="ListLabel421">
    <w:name w:val="ListLabel 421"/>
    <w:qFormat/>
    <w:rPr>
      <w:rFonts w:cs="Courier New"/>
    </w:rPr>
  </w:style>
  <w:style w:type="character" w:styleId="ListLabel422">
    <w:name w:val="ListLabel 422"/>
    <w:qFormat/>
    <w:rPr>
      <w:rFonts w:cs="Wingdings"/>
    </w:rPr>
  </w:style>
  <w:style w:type="character" w:styleId="ListLabel423">
    <w:name w:val="ListLabel 423"/>
    <w:qFormat/>
    <w:rPr>
      <w:rFonts w:cs="Symbol"/>
    </w:rPr>
  </w:style>
  <w:style w:type="character" w:styleId="ListLabel424">
    <w:name w:val="ListLabel 424"/>
    <w:qFormat/>
    <w:rPr>
      <w:rFonts w:cs="Courier New"/>
    </w:rPr>
  </w:style>
  <w:style w:type="character" w:styleId="ListLabel425">
    <w:name w:val="ListLabel 425"/>
    <w:qFormat/>
    <w:rPr>
      <w:rFonts w:cs="Wingdings"/>
    </w:rPr>
  </w:style>
  <w:style w:type="character" w:styleId="ListLabel426">
    <w:name w:val="ListLabel 426"/>
    <w:qFormat/>
    <w:rPr>
      <w:rFonts w:ascii="Bookman Old Style" w:hAnsi="Bookman Old Style" w:cs="Courier New"/>
      <w:b/>
      <w:sz w:val="24"/>
    </w:rPr>
  </w:style>
  <w:style w:type="character" w:styleId="ListLabel427">
    <w:name w:val="ListLabel 427"/>
    <w:qFormat/>
    <w:rPr>
      <w:rFonts w:cs="Courier New"/>
    </w:rPr>
  </w:style>
  <w:style w:type="character" w:styleId="ListLabel428">
    <w:name w:val="ListLabel 428"/>
    <w:qFormat/>
    <w:rPr>
      <w:rFonts w:cs="Wingdings"/>
    </w:rPr>
  </w:style>
  <w:style w:type="character" w:styleId="ListLabel429">
    <w:name w:val="ListLabel 429"/>
    <w:qFormat/>
    <w:rPr>
      <w:rFonts w:cs="Symbol"/>
    </w:rPr>
  </w:style>
  <w:style w:type="character" w:styleId="ListLabel430">
    <w:name w:val="ListLabel 430"/>
    <w:qFormat/>
    <w:rPr>
      <w:rFonts w:cs="Courier New"/>
    </w:rPr>
  </w:style>
  <w:style w:type="character" w:styleId="ListLabel431">
    <w:name w:val="ListLabel 431"/>
    <w:qFormat/>
    <w:rPr>
      <w:rFonts w:cs="Wingdings"/>
    </w:rPr>
  </w:style>
  <w:style w:type="character" w:styleId="ListLabel432">
    <w:name w:val="ListLabel 432"/>
    <w:qFormat/>
    <w:rPr>
      <w:rFonts w:cs="Symbol"/>
    </w:rPr>
  </w:style>
  <w:style w:type="character" w:styleId="ListLabel433">
    <w:name w:val="ListLabel 433"/>
    <w:qFormat/>
    <w:rPr>
      <w:rFonts w:cs="Courier New"/>
    </w:rPr>
  </w:style>
  <w:style w:type="character" w:styleId="ListLabel434">
    <w:name w:val="ListLabel 434"/>
    <w:qFormat/>
    <w:rPr>
      <w:rFonts w:cs="Wingdings"/>
    </w:rPr>
  </w:style>
  <w:style w:type="character" w:styleId="ListLabel435">
    <w:name w:val="ListLabel 435"/>
    <w:qFormat/>
    <w:rPr>
      <w:rFonts w:ascii="Bookman Old Style" w:hAnsi="Bookman Old Style" w:cs="Courier New"/>
      <w:sz w:val="24"/>
    </w:rPr>
  </w:style>
  <w:style w:type="character" w:styleId="ListLabel436">
    <w:name w:val="ListLabel 436"/>
    <w:qFormat/>
    <w:rPr>
      <w:rFonts w:cs="Courier New"/>
    </w:rPr>
  </w:style>
  <w:style w:type="character" w:styleId="ListLabel437">
    <w:name w:val="ListLabel 437"/>
    <w:qFormat/>
    <w:rPr>
      <w:rFonts w:cs="Wingdings"/>
    </w:rPr>
  </w:style>
  <w:style w:type="character" w:styleId="ListLabel438">
    <w:name w:val="ListLabel 438"/>
    <w:qFormat/>
    <w:rPr>
      <w:rFonts w:cs="Symbol"/>
    </w:rPr>
  </w:style>
  <w:style w:type="character" w:styleId="ListLabel439">
    <w:name w:val="ListLabel 439"/>
    <w:qFormat/>
    <w:rPr>
      <w:rFonts w:cs="Courier New"/>
    </w:rPr>
  </w:style>
  <w:style w:type="character" w:styleId="ListLabel440">
    <w:name w:val="ListLabel 440"/>
    <w:qFormat/>
    <w:rPr>
      <w:rFonts w:cs="Wingdings"/>
    </w:rPr>
  </w:style>
  <w:style w:type="character" w:styleId="ListLabel441">
    <w:name w:val="ListLabel 441"/>
    <w:qFormat/>
    <w:rPr>
      <w:rFonts w:cs="Symbol"/>
    </w:rPr>
  </w:style>
  <w:style w:type="character" w:styleId="ListLabel442">
    <w:name w:val="ListLabel 442"/>
    <w:qFormat/>
    <w:rPr>
      <w:rFonts w:cs="Courier New"/>
    </w:rPr>
  </w:style>
  <w:style w:type="character" w:styleId="ListLabel443">
    <w:name w:val="ListLabel 443"/>
    <w:qFormat/>
    <w:rPr>
      <w:rFonts w:cs="Wingdings"/>
    </w:rPr>
  </w:style>
  <w:style w:type="character" w:styleId="ListLabel444">
    <w:name w:val="ListLabel 444"/>
    <w:qFormat/>
    <w:rPr>
      <w:rFonts w:ascii="Bookman Old Style" w:hAnsi="Bookman Old Style" w:cs="Courier New"/>
      <w:b/>
      <w:sz w:val="24"/>
    </w:rPr>
  </w:style>
  <w:style w:type="character" w:styleId="ListLabel445">
    <w:name w:val="ListLabel 445"/>
    <w:qFormat/>
    <w:rPr>
      <w:rFonts w:cs="Courier New"/>
    </w:rPr>
  </w:style>
  <w:style w:type="character" w:styleId="ListLabel446">
    <w:name w:val="ListLabel 446"/>
    <w:qFormat/>
    <w:rPr>
      <w:rFonts w:cs="Wingdings"/>
    </w:rPr>
  </w:style>
  <w:style w:type="character" w:styleId="ListLabel447">
    <w:name w:val="ListLabel 447"/>
    <w:qFormat/>
    <w:rPr>
      <w:rFonts w:cs="Symbol"/>
    </w:rPr>
  </w:style>
  <w:style w:type="character" w:styleId="ListLabel448">
    <w:name w:val="ListLabel 448"/>
    <w:qFormat/>
    <w:rPr>
      <w:rFonts w:cs="Courier New"/>
    </w:rPr>
  </w:style>
  <w:style w:type="character" w:styleId="ListLabel449">
    <w:name w:val="ListLabel 449"/>
    <w:qFormat/>
    <w:rPr>
      <w:rFonts w:cs="Wingdings"/>
    </w:rPr>
  </w:style>
  <w:style w:type="character" w:styleId="ListLabel450">
    <w:name w:val="ListLabel 450"/>
    <w:qFormat/>
    <w:rPr>
      <w:rFonts w:cs="Symbol"/>
    </w:rPr>
  </w:style>
  <w:style w:type="character" w:styleId="ListLabel451">
    <w:name w:val="ListLabel 451"/>
    <w:qFormat/>
    <w:rPr>
      <w:rFonts w:cs="Courier New"/>
    </w:rPr>
  </w:style>
  <w:style w:type="character" w:styleId="ListLabel452">
    <w:name w:val="ListLabel 452"/>
    <w:qFormat/>
    <w:rPr>
      <w:rFonts w:cs="Wingdings"/>
    </w:rPr>
  </w:style>
  <w:style w:type="character" w:styleId="ListLabel453">
    <w:name w:val="ListLabel 453"/>
    <w:qFormat/>
    <w:rPr>
      <w:rFonts w:ascii="Bookman Old Style" w:hAnsi="Bookman Old Style" w:cs="Courier New"/>
      <w:sz w:val="24"/>
    </w:rPr>
  </w:style>
  <w:style w:type="character" w:styleId="ListLabel454">
    <w:name w:val="ListLabel 454"/>
    <w:qFormat/>
    <w:rPr>
      <w:rFonts w:cs="Courier New"/>
    </w:rPr>
  </w:style>
  <w:style w:type="character" w:styleId="ListLabel455">
    <w:name w:val="ListLabel 455"/>
    <w:qFormat/>
    <w:rPr>
      <w:rFonts w:cs="Wingdings"/>
    </w:rPr>
  </w:style>
  <w:style w:type="character" w:styleId="ListLabel456">
    <w:name w:val="ListLabel 456"/>
    <w:qFormat/>
    <w:rPr>
      <w:rFonts w:cs="Symbol"/>
    </w:rPr>
  </w:style>
  <w:style w:type="character" w:styleId="ListLabel457">
    <w:name w:val="ListLabel 457"/>
    <w:qFormat/>
    <w:rPr>
      <w:rFonts w:cs="Courier New"/>
    </w:rPr>
  </w:style>
  <w:style w:type="character" w:styleId="ListLabel458">
    <w:name w:val="ListLabel 458"/>
    <w:qFormat/>
    <w:rPr>
      <w:rFonts w:cs="Wingdings"/>
    </w:rPr>
  </w:style>
  <w:style w:type="character" w:styleId="ListLabel459">
    <w:name w:val="ListLabel 459"/>
    <w:qFormat/>
    <w:rPr>
      <w:rFonts w:cs="Symbol"/>
    </w:rPr>
  </w:style>
  <w:style w:type="character" w:styleId="ListLabel460">
    <w:name w:val="ListLabel 460"/>
    <w:qFormat/>
    <w:rPr>
      <w:rFonts w:cs="Courier New"/>
    </w:rPr>
  </w:style>
  <w:style w:type="character" w:styleId="ListLabel461">
    <w:name w:val="ListLabel 461"/>
    <w:qFormat/>
    <w:rPr>
      <w:rFonts w:cs="Wingdings"/>
    </w:rPr>
  </w:style>
  <w:style w:type="character" w:styleId="ListLabel462">
    <w:name w:val="ListLabel 462"/>
    <w:qFormat/>
    <w:rPr>
      <w:rFonts w:ascii="Bookman Old Style" w:hAnsi="Bookman Old Style" w:cs="Courier New"/>
      <w:b/>
      <w:sz w:val="24"/>
    </w:rPr>
  </w:style>
  <w:style w:type="character" w:styleId="ListLabel463">
    <w:name w:val="ListLabel 463"/>
    <w:qFormat/>
    <w:rPr>
      <w:rFonts w:cs="Courier New"/>
    </w:rPr>
  </w:style>
  <w:style w:type="character" w:styleId="ListLabel464">
    <w:name w:val="ListLabel 464"/>
    <w:qFormat/>
    <w:rPr>
      <w:rFonts w:cs="Wingdings"/>
    </w:rPr>
  </w:style>
  <w:style w:type="character" w:styleId="ListLabel465">
    <w:name w:val="ListLabel 465"/>
    <w:qFormat/>
    <w:rPr>
      <w:rFonts w:cs="Symbol"/>
    </w:rPr>
  </w:style>
  <w:style w:type="character" w:styleId="ListLabel466">
    <w:name w:val="ListLabel 466"/>
    <w:qFormat/>
    <w:rPr>
      <w:rFonts w:cs="Courier New"/>
    </w:rPr>
  </w:style>
  <w:style w:type="character" w:styleId="ListLabel467">
    <w:name w:val="ListLabel 467"/>
    <w:qFormat/>
    <w:rPr>
      <w:rFonts w:cs="Wingdings"/>
    </w:rPr>
  </w:style>
  <w:style w:type="character" w:styleId="ListLabel468">
    <w:name w:val="ListLabel 468"/>
    <w:qFormat/>
    <w:rPr>
      <w:rFonts w:cs="Symbol"/>
    </w:rPr>
  </w:style>
  <w:style w:type="character" w:styleId="ListLabel469">
    <w:name w:val="ListLabel 469"/>
    <w:qFormat/>
    <w:rPr>
      <w:rFonts w:cs="Courier New"/>
    </w:rPr>
  </w:style>
  <w:style w:type="character" w:styleId="ListLabel470">
    <w:name w:val="ListLabel 470"/>
    <w:qFormat/>
    <w:rPr>
      <w:rFonts w:cs="Wingdings"/>
    </w:rPr>
  </w:style>
  <w:style w:type="character" w:styleId="ListLabel471">
    <w:name w:val="ListLabel 471"/>
    <w:qFormat/>
    <w:rPr>
      <w:rFonts w:ascii="Bookman Old Style" w:hAnsi="Bookman Old Style" w:cs="Courier New"/>
      <w:sz w:val="24"/>
    </w:rPr>
  </w:style>
  <w:style w:type="character" w:styleId="ListLabel472">
    <w:name w:val="ListLabel 472"/>
    <w:qFormat/>
    <w:rPr>
      <w:rFonts w:cs="Courier New"/>
    </w:rPr>
  </w:style>
  <w:style w:type="character" w:styleId="ListLabel473">
    <w:name w:val="ListLabel 473"/>
    <w:qFormat/>
    <w:rPr>
      <w:rFonts w:cs="Wingdings"/>
    </w:rPr>
  </w:style>
  <w:style w:type="character" w:styleId="ListLabel474">
    <w:name w:val="ListLabel 474"/>
    <w:qFormat/>
    <w:rPr>
      <w:rFonts w:cs="Symbol"/>
    </w:rPr>
  </w:style>
  <w:style w:type="character" w:styleId="ListLabel475">
    <w:name w:val="ListLabel 475"/>
    <w:qFormat/>
    <w:rPr>
      <w:rFonts w:cs="Courier New"/>
    </w:rPr>
  </w:style>
  <w:style w:type="character" w:styleId="ListLabel476">
    <w:name w:val="ListLabel 476"/>
    <w:qFormat/>
    <w:rPr>
      <w:rFonts w:cs="Wingdings"/>
    </w:rPr>
  </w:style>
  <w:style w:type="character" w:styleId="ListLabel477">
    <w:name w:val="ListLabel 477"/>
    <w:qFormat/>
    <w:rPr>
      <w:rFonts w:cs="Symbol"/>
    </w:rPr>
  </w:style>
  <w:style w:type="character" w:styleId="ListLabel478">
    <w:name w:val="ListLabel 478"/>
    <w:qFormat/>
    <w:rPr>
      <w:rFonts w:cs="Courier New"/>
    </w:rPr>
  </w:style>
  <w:style w:type="character" w:styleId="ListLabel479">
    <w:name w:val="ListLabel 479"/>
    <w:qFormat/>
    <w:rPr>
      <w:rFonts w:cs="Wingdings"/>
    </w:rPr>
  </w:style>
  <w:style w:type="character" w:styleId="ListLabel480">
    <w:name w:val="ListLabel 480"/>
    <w:qFormat/>
    <w:rPr>
      <w:rFonts w:ascii="Bookman Old Style" w:hAnsi="Bookman Old Style" w:cs="Courier New"/>
      <w:b/>
      <w:sz w:val="24"/>
    </w:rPr>
  </w:style>
  <w:style w:type="character" w:styleId="ListLabel481">
    <w:name w:val="ListLabel 481"/>
    <w:qFormat/>
    <w:rPr>
      <w:rFonts w:cs="Courier New"/>
    </w:rPr>
  </w:style>
  <w:style w:type="character" w:styleId="ListLabel482">
    <w:name w:val="ListLabel 482"/>
    <w:qFormat/>
    <w:rPr>
      <w:rFonts w:cs="Wingdings"/>
    </w:rPr>
  </w:style>
  <w:style w:type="character" w:styleId="ListLabel483">
    <w:name w:val="ListLabel 483"/>
    <w:qFormat/>
    <w:rPr>
      <w:rFonts w:cs="Symbol"/>
    </w:rPr>
  </w:style>
  <w:style w:type="character" w:styleId="ListLabel484">
    <w:name w:val="ListLabel 484"/>
    <w:qFormat/>
    <w:rPr>
      <w:rFonts w:cs="Courier New"/>
    </w:rPr>
  </w:style>
  <w:style w:type="character" w:styleId="ListLabel485">
    <w:name w:val="ListLabel 485"/>
    <w:qFormat/>
    <w:rPr>
      <w:rFonts w:cs="Wingdings"/>
    </w:rPr>
  </w:style>
  <w:style w:type="character" w:styleId="ListLabel486">
    <w:name w:val="ListLabel 486"/>
    <w:qFormat/>
    <w:rPr>
      <w:rFonts w:cs="Symbol"/>
    </w:rPr>
  </w:style>
  <w:style w:type="character" w:styleId="ListLabel487">
    <w:name w:val="ListLabel 487"/>
    <w:qFormat/>
    <w:rPr>
      <w:rFonts w:cs="Courier New"/>
    </w:rPr>
  </w:style>
  <w:style w:type="character" w:styleId="ListLabel488">
    <w:name w:val="ListLabel 488"/>
    <w:qFormat/>
    <w:rPr>
      <w:rFonts w:cs="Wingdings"/>
    </w:rPr>
  </w:style>
  <w:style w:type="character" w:styleId="ListLabel489">
    <w:name w:val="ListLabel 489"/>
    <w:qFormat/>
    <w:rPr>
      <w:rFonts w:ascii="Bookman Old Style" w:hAnsi="Bookman Old Style" w:cs="Courier New"/>
      <w:sz w:val="24"/>
    </w:rPr>
  </w:style>
  <w:style w:type="character" w:styleId="ListLabel490">
    <w:name w:val="ListLabel 490"/>
    <w:qFormat/>
    <w:rPr>
      <w:rFonts w:cs="Courier New"/>
    </w:rPr>
  </w:style>
  <w:style w:type="character" w:styleId="ListLabel491">
    <w:name w:val="ListLabel 491"/>
    <w:qFormat/>
    <w:rPr>
      <w:rFonts w:cs="Wingdings"/>
    </w:rPr>
  </w:style>
  <w:style w:type="character" w:styleId="ListLabel492">
    <w:name w:val="ListLabel 492"/>
    <w:qFormat/>
    <w:rPr>
      <w:rFonts w:cs="Symbol"/>
    </w:rPr>
  </w:style>
  <w:style w:type="character" w:styleId="ListLabel493">
    <w:name w:val="ListLabel 493"/>
    <w:qFormat/>
    <w:rPr>
      <w:rFonts w:cs="Courier New"/>
    </w:rPr>
  </w:style>
  <w:style w:type="character" w:styleId="ListLabel494">
    <w:name w:val="ListLabel 494"/>
    <w:qFormat/>
    <w:rPr>
      <w:rFonts w:cs="Wingdings"/>
    </w:rPr>
  </w:style>
  <w:style w:type="character" w:styleId="ListLabel495">
    <w:name w:val="ListLabel 495"/>
    <w:qFormat/>
    <w:rPr>
      <w:rFonts w:cs="Symbol"/>
    </w:rPr>
  </w:style>
  <w:style w:type="character" w:styleId="ListLabel496">
    <w:name w:val="ListLabel 496"/>
    <w:qFormat/>
    <w:rPr>
      <w:rFonts w:cs="Courier New"/>
    </w:rPr>
  </w:style>
  <w:style w:type="character" w:styleId="ListLabel497">
    <w:name w:val="ListLabel 497"/>
    <w:qFormat/>
    <w:rPr>
      <w:rFonts w:cs="Wingdings"/>
    </w:rPr>
  </w:style>
  <w:style w:type="character" w:styleId="ListLabel498">
    <w:name w:val="ListLabel 498"/>
    <w:qFormat/>
    <w:rPr>
      <w:rFonts w:ascii="Bookman Old Style" w:hAnsi="Bookman Old Style" w:cs="Courier New"/>
      <w:b/>
      <w:sz w:val="24"/>
    </w:rPr>
  </w:style>
  <w:style w:type="character" w:styleId="ListLabel499">
    <w:name w:val="ListLabel 499"/>
    <w:qFormat/>
    <w:rPr>
      <w:rFonts w:cs="Courier New"/>
    </w:rPr>
  </w:style>
  <w:style w:type="character" w:styleId="ListLabel500">
    <w:name w:val="ListLabel 500"/>
    <w:qFormat/>
    <w:rPr>
      <w:rFonts w:cs="Wingdings"/>
    </w:rPr>
  </w:style>
  <w:style w:type="character" w:styleId="ListLabel501">
    <w:name w:val="ListLabel 501"/>
    <w:qFormat/>
    <w:rPr>
      <w:rFonts w:cs="Symbol"/>
    </w:rPr>
  </w:style>
  <w:style w:type="character" w:styleId="ListLabel502">
    <w:name w:val="ListLabel 502"/>
    <w:qFormat/>
    <w:rPr>
      <w:rFonts w:cs="Courier New"/>
    </w:rPr>
  </w:style>
  <w:style w:type="character" w:styleId="ListLabel503">
    <w:name w:val="ListLabel 503"/>
    <w:qFormat/>
    <w:rPr>
      <w:rFonts w:cs="Wingdings"/>
    </w:rPr>
  </w:style>
  <w:style w:type="character" w:styleId="ListLabel504">
    <w:name w:val="ListLabel 504"/>
    <w:qFormat/>
    <w:rPr>
      <w:rFonts w:cs="Symbol"/>
    </w:rPr>
  </w:style>
  <w:style w:type="character" w:styleId="ListLabel505">
    <w:name w:val="ListLabel 505"/>
    <w:qFormat/>
    <w:rPr>
      <w:rFonts w:cs="Courier New"/>
    </w:rPr>
  </w:style>
  <w:style w:type="character" w:styleId="ListLabel506">
    <w:name w:val="ListLabel 506"/>
    <w:qFormat/>
    <w:rPr>
      <w:rFonts w:cs="Wingdings"/>
    </w:rPr>
  </w:style>
  <w:style w:type="character" w:styleId="ListLabel507">
    <w:name w:val="ListLabel 507"/>
    <w:qFormat/>
    <w:rPr>
      <w:rFonts w:ascii="Bookman Old Style" w:hAnsi="Bookman Old Style" w:cs="Courier New"/>
      <w:sz w:val="24"/>
    </w:rPr>
  </w:style>
  <w:style w:type="character" w:styleId="ListLabel508">
    <w:name w:val="ListLabel 508"/>
    <w:qFormat/>
    <w:rPr>
      <w:rFonts w:cs="Courier New"/>
    </w:rPr>
  </w:style>
  <w:style w:type="character" w:styleId="ListLabel509">
    <w:name w:val="ListLabel 509"/>
    <w:qFormat/>
    <w:rPr>
      <w:rFonts w:cs="Wingdings"/>
    </w:rPr>
  </w:style>
  <w:style w:type="character" w:styleId="ListLabel510">
    <w:name w:val="ListLabel 510"/>
    <w:qFormat/>
    <w:rPr>
      <w:rFonts w:cs="Symbol"/>
    </w:rPr>
  </w:style>
  <w:style w:type="character" w:styleId="ListLabel511">
    <w:name w:val="ListLabel 511"/>
    <w:qFormat/>
    <w:rPr>
      <w:rFonts w:cs="Courier New"/>
    </w:rPr>
  </w:style>
  <w:style w:type="character" w:styleId="ListLabel512">
    <w:name w:val="ListLabel 512"/>
    <w:qFormat/>
    <w:rPr>
      <w:rFonts w:cs="Wingdings"/>
    </w:rPr>
  </w:style>
  <w:style w:type="character" w:styleId="ListLabel513">
    <w:name w:val="ListLabel 513"/>
    <w:qFormat/>
    <w:rPr>
      <w:rFonts w:cs="Symbol"/>
    </w:rPr>
  </w:style>
  <w:style w:type="character" w:styleId="ListLabel514">
    <w:name w:val="ListLabel 514"/>
    <w:qFormat/>
    <w:rPr>
      <w:rFonts w:cs="Courier New"/>
    </w:rPr>
  </w:style>
  <w:style w:type="character" w:styleId="ListLabel515">
    <w:name w:val="ListLabel 515"/>
    <w:qFormat/>
    <w:rPr>
      <w:rFonts w:cs="Wingdings"/>
    </w:rPr>
  </w:style>
  <w:style w:type="character" w:styleId="ListLabel516">
    <w:name w:val="ListLabel 516"/>
    <w:qFormat/>
    <w:rPr>
      <w:rFonts w:ascii="Bookman Old Style" w:hAnsi="Bookman Old Style" w:cs="Courier New"/>
      <w:b/>
      <w:sz w:val="24"/>
    </w:rPr>
  </w:style>
  <w:style w:type="character" w:styleId="ListLabel517">
    <w:name w:val="ListLabel 517"/>
    <w:qFormat/>
    <w:rPr>
      <w:rFonts w:cs="Courier New"/>
    </w:rPr>
  </w:style>
  <w:style w:type="character" w:styleId="ListLabel518">
    <w:name w:val="ListLabel 518"/>
    <w:qFormat/>
    <w:rPr>
      <w:rFonts w:cs="Wingdings"/>
    </w:rPr>
  </w:style>
  <w:style w:type="character" w:styleId="ListLabel519">
    <w:name w:val="ListLabel 519"/>
    <w:qFormat/>
    <w:rPr>
      <w:rFonts w:cs="Symbol"/>
    </w:rPr>
  </w:style>
  <w:style w:type="character" w:styleId="ListLabel520">
    <w:name w:val="ListLabel 520"/>
    <w:qFormat/>
    <w:rPr>
      <w:rFonts w:cs="Courier New"/>
    </w:rPr>
  </w:style>
  <w:style w:type="character" w:styleId="ListLabel521">
    <w:name w:val="ListLabel 521"/>
    <w:qFormat/>
    <w:rPr>
      <w:rFonts w:cs="Wingdings"/>
    </w:rPr>
  </w:style>
  <w:style w:type="character" w:styleId="ListLabel522">
    <w:name w:val="ListLabel 522"/>
    <w:qFormat/>
    <w:rPr>
      <w:rFonts w:cs="Symbol"/>
    </w:rPr>
  </w:style>
  <w:style w:type="character" w:styleId="ListLabel523">
    <w:name w:val="ListLabel 523"/>
    <w:qFormat/>
    <w:rPr>
      <w:rFonts w:cs="Courier New"/>
    </w:rPr>
  </w:style>
  <w:style w:type="character" w:styleId="ListLabel524">
    <w:name w:val="ListLabel 524"/>
    <w:qFormat/>
    <w:rPr>
      <w:rFonts w:cs="Wingdings"/>
    </w:rPr>
  </w:style>
  <w:style w:type="character" w:styleId="ListLabel525">
    <w:name w:val="ListLabel 525"/>
    <w:qFormat/>
    <w:rPr>
      <w:rFonts w:ascii="Bookman Old Style" w:hAnsi="Bookman Old Style" w:cs="Courier New"/>
      <w:sz w:val="24"/>
    </w:rPr>
  </w:style>
  <w:style w:type="character" w:styleId="ListLabel526">
    <w:name w:val="ListLabel 526"/>
    <w:qFormat/>
    <w:rPr>
      <w:rFonts w:cs="Courier New"/>
    </w:rPr>
  </w:style>
  <w:style w:type="character" w:styleId="ListLabel527">
    <w:name w:val="ListLabel 527"/>
    <w:qFormat/>
    <w:rPr>
      <w:rFonts w:cs="Wingdings"/>
    </w:rPr>
  </w:style>
  <w:style w:type="character" w:styleId="ListLabel528">
    <w:name w:val="ListLabel 528"/>
    <w:qFormat/>
    <w:rPr>
      <w:rFonts w:cs="Symbol"/>
    </w:rPr>
  </w:style>
  <w:style w:type="character" w:styleId="ListLabel529">
    <w:name w:val="ListLabel 529"/>
    <w:qFormat/>
    <w:rPr>
      <w:rFonts w:cs="Courier New"/>
    </w:rPr>
  </w:style>
  <w:style w:type="character" w:styleId="ListLabel530">
    <w:name w:val="ListLabel 530"/>
    <w:qFormat/>
    <w:rPr>
      <w:rFonts w:cs="Wingdings"/>
    </w:rPr>
  </w:style>
  <w:style w:type="character" w:styleId="ListLabel531">
    <w:name w:val="ListLabel 531"/>
    <w:qFormat/>
    <w:rPr>
      <w:rFonts w:cs="Symbol"/>
    </w:rPr>
  </w:style>
  <w:style w:type="character" w:styleId="ListLabel532">
    <w:name w:val="ListLabel 532"/>
    <w:qFormat/>
    <w:rPr>
      <w:rFonts w:cs="Courier New"/>
    </w:rPr>
  </w:style>
  <w:style w:type="character" w:styleId="ListLabel533">
    <w:name w:val="ListLabel 533"/>
    <w:qFormat/>
    <w:rPr>
      <w:rFonts w:cs="Wingdings"/>
    </w:rPr>
  </w:style>
  <w:style w:type="character" w:styleId="ListLabel534">
    <w:name w:val="ListLabel 534"/>
    <w:qFormat/>
    <w:rPr>
      <w:rFonts w:ascii="Bookman Old Style" w:hAnsi="Bookman Old Style" w:cs="Courier New"/>
      <w:b/>
      <w:sz w:val="24"/>
    </w:rPr>
  </w:style>
  <w:style w:type="character" w:styleId="ListLabel535">
    <w:name w:val="ListLabel 535"/>
    <w:qFormat/>
    <w:rPr>
      <w:rFonts w:cs="Courier New"/>
    </w:rPr>
  </w:style>
  <w:style w:type="character" w:styleId="ListLabel536">
    <w:name w:val="ListLabel 536"/>
    <w:qFormat/>
    <w:rPr>
      <w:rFonts w:cs="Wingdings"/>
    </w:rPr>
  </w:style>
  <w:style w:type="character" w:styleId="ListLabel537">
    <w:name w:val="ListLabel 537"/>
    <w:qFormat/>
    <w:rPr>
      <w:rFonts w:cs="Symbol"/>
    </w:rPr>
  </w:style>
  <w:style w:type="character" w:styleId="ListLabel538">
    <w:name w:val="ListLabel 538"/>
    <w:qFormat/>
    <w:rPr>
      <w:rFonts w:cs="Courier New"/>
    </w:rPr>
  </w:style>
  <w:style w:type="character" w:styleId="ListLabel539">
    <w:name w:val="ListLabel 539"/>
    <w:qFormat/>
    <w:rPr>
      <w:rFonts w:cs="Wingdings"/>
    </w:rPr>
  </w:style>
  <w:style w:type="character" w:styleId="ListLabel540">
    <w:name w:val="ListLabel 540"/>
    <w:qFormat/>
    <w:rPr>
      <w:rFonts w:cs="Symbol"/>
    </w:rPr>
  </w:style>
  <w:style w:type="character" w:styleId="ListLabel541">
    <w:name w:val="ListLabel 541"/>
    <w:qFormat/>
    <w:rPr>
      <w:rFonts w:cs="Courier New"/>
    </w:rPr>
  </w:style>
  <w:style w:type="character" w:styleId="ListLabel542">
    <w:name w:val="ListLabel 542"/>
    <w:qFormat/>
    <w:rPr>
      <w:rFonts w:cs="Wingdings"/>
    </w:rPr>
  </w:style>
  <w:style w:type="character" w:styleId="ListLabel543">
    <w:name w:val="ListLabel 543"/>
    <w:qFormat/>
    <w:rPr>
      <w:rFonts w:ascii="Bookman Old Style" w:hAnsi="Bookman Old Style" w:cs="Courier New"/>
      <w:sz w:val="24"/>
    </w:rPr>
  </w:style>
  <w:style w:type="character" w:styleId="ListLabel544">
    <w:name w:val="ListLabel 544"/>
    <w:qFormat/>
    <w:rPr>
      <w:rFonts w:cs="Courier New"/>
    </w:rPr>
  </w:style>
  <w:style w:type="character" w:styleId="ListLabel545">
    <w:name w:val="ListLabel 545"/>
    <w:qFormat/>
    <w:rPr>
      <w:rFonts w:cs="Wingdings"/>
    </w:rPr>
  </w:style>
  <w:style w:type="character" w:styleId="ListLabel546">
    <w:name w:val="ListLabel 546"/>
    <w:qFormat/>
    <w:rPr>
      <w:rFonts w:cs="Symbol"/>
    </w:rPr>
  </w:style>
  <w:style w:type="character" w:styleId="ListLabel547">
    <w:name w:val="ListLabel 547"/>
    <w:qFormat/>
    <w:rPr>
      <w:rFonts w:cs="Courier New"/>
    </w:rPr>
  </w:style>
  <w:style w:type="character" w:styleId="ListLabel548">
    <w:name w:val="ListLabel 548"/>
    <w:qFormat/>
    <w:rPr>
      <w:rFonts w:cs="Wingdings"/>
    </w:rPr>
  </w:style>
  <w:style w:type="character" w:styleId="ListLabel549">
    <w:name w:val="ListLabel 549"/>
    <w:qFormat/>
    <w:rPr>
      <w:rFonts w:cs="Symbol"/>
    </w:rPr>
  </w:style>
  <w:style w:type="character" w:styleId="ListLabel550">
    <w:name w:val="ListLabel 550"/>
    <w:qFormat/>
    <w:rPr>
      <w:rFonts w:cs="Courier New"/>
    </w:rPr>
  </w:style>
  <w:style w:type="character" w:styleId="ListLabel551">
    <w:name w:val="ListLabel 551"/>
    <w:qFormat/>
    <w:rPr>
      <w:rFonts w:cs="Wingdings"/>
    </w:rPr>
  </w:style>
  <w:style w:type="character" w:styleId="ListLabel552">
    <w:name w:val="ListLabel 552"/>
    <w:qFormat/>
    <w:rPr>
      <w:rFonts w:ascii="Bookman Old Style" w:hAnsi="Bookman Old Style" w:cs="Courier New"/>
      <w:b/>
      <w:sz w:val="24"/>
    </w:rPr>
  </w:style>
  <w:style w:type="character" w:styleId="ListLabel553">
    <w:name w:val="ListLabel 553"/>
    <w:qFormat/>
    <w:rPr>
      <w:rFonts w:cs="Courier New"/>
    </w:rPr>
  </w:style>
  <w:style w:type="character" w:styleId="ListLabel554">
    <w:name w:val="ListLabel 554"/>
    <w:qFormat/>
    <w:rPr>
      <w:rFonts w:cs="Wingdings"/>
    </w:rPr>
  </w:style>
  <w:style w:type="character" w:styleId="ListLabel555">
    <w:name w:val="ListLabel 555"/>
    <w:qFormat/>
    <w:rPr>
      <w:rFonts w:cs="Symbol"/>
    </w:rPr>
  </w:style>
  <w:style w:type="character" w:styleId="ListLabel556">
    <w:name w:val="ListLabel 556"/>
    <w:qFormat/>
    <w:rPr>
      <w:rFonts w:cs="Courier New"/>
    </w:rPr>
  </w:style>
  <w:style w:type="character" w:styleId="ListLabel557">
    <w:name w:val="ListLabel 557"/>
    <w:qFormat/>
    <w:rPr>
      <w:rFonts w:cs="Wingdings"/>
    </w:rPr>
  </w:style>
  <w:style w:type="character" w:styleId="ListLabel558">
    <w:name w:val="ListLabel 558"/>
    <w:qFormat/>
    <w:rPr>
      <w:rFonts w:cs="Symbol"/>
    </w:rPr>
  </w:style>
  <w:style w:type="character" w:styleId="ListLabel559">
    <w:name w:val="ListLabel 559"/>
    <w:qFormat/>
    <w:rPr>
      <w:rFonts w:cs="Courier New"/>
    </w:rPr>
  </w:style>
  <w:style w:type="character" w:styleId="ListLabel560">
    <w:name w:val="ListLabel 560"/>
    <w:qFormat/>
    <w:rPr>
      <w:rFonts w:cs="Wingdings"/>
    </w:rPr>
  </w:style>
  <w:style w:type="character" w:styleId="ListLabel561">
    <w:name w:val="ListLabel 561"/>
    <w:qFormat/>
    <w:rPr>
      <w:rFonts w:ascii="Bookman Old Style" w:hAnsi="Bookman Old Style" w:cs="Courier New"/>
      <w:sz w:val="24"/>
    </w:rPr>
  </w:style>
  <w:style w:type="character" w:styleId="ListLabel562">
    <w:name w:val="ListLabel 562"/>
    <w:qFormat/>
    <w:rPr>
      <w:rFonts w:cs="Courier New"/>
    </w:rPr>
  </w:style>
  <w:style w:type="character" w:styleId="ListLabel563">
    <w:name w:val="ListLabel 563"/>
    <w:qFormat/>
    <w:rPr>
      <w:rFonts w:cs="Wingdings"/>
    </w:rPr>
  </w:style>
  <w:style w:type="character" w:styleId="ListLabel564">
    <w:name w:val="ListLabel 564"/>
    <w:qFormat/>
    <w:rPr>
      <w:rFonts w:cs="Symbol"/>
    </w:rPr>
  </w:style>
  <w:style w:type="character" w:styleId="ListLabel565">
    <w:name w:val="ListLabel 565"/>
    <w:qFormat/>
    <w:rPr>
      <w:rFonts w:cs="Courier New"/>
    </w:rPr>
  </w:style>
  <w:style w:type="character" w:styleId="ListLabel566">
    <w:name w:val="ListLabel 566"/>
    <w:qFormat/>
    <w:rPr>
      <w:rFonts w:cs="Wingdings"/>
    </w:rPr>
  </w:style>
  <w:style w:type="character" w:styleId="ListLabel567">
    <w:name w:val="ListLabel 567"/>
    <w:qFormat/>
    <w:rPr>
      <w:rFonts w:cs="Symbol"/>
    </w:rPr>
  </w:style>
  <w:style w:type="character" w:styleId="ListLabel568">
    <w:name w:val="ListLabel 568"/>
    <w:qFormat/>
    <w:rPr>
      <w:rFonts w:cs="Courier New"/>
    </w:rPr>
  </w:style>
  <w:style w:type="character" w:styleId="ListLabel569">
    <w:name w:val="ListLabel 569"/>
    <w:qFormat/>
    <w:rPr>
      <w:rFonts w:cs="Wingdings"/>
    </w:rPr>
  </w:style>
  <w:style w:type="character" w:styleId="Style16">
    <w:name w:val="Маркеры списка"/>
    <w:qFormat/>
    <w:rPr>
      <w:rFonts w:ascii="OpenSymbol" w:hAnsi="OpenSymbol" w:eastAsia="OpenSymbol" w:cs="OpenSymbol"/>
    </w:rPr>
  </w:style>
  <w:style w:type="character" w:styleId="ListLabel570">
    <w:name w:val="ListLabel 570"/>
    <w:qFormat/>
    <w:rPr>
      <w:rFonts w:ascii="Bookman Old Style" w:hAnsi="Bookman Old Style" w:cs="Courier New"/>
      <w:b/>
      <w:sz w:val="24"/>
    </w:rPr>
  </w:style>
  <w:style w:type="character" w:styleId="ListLabel571">
    <w:name w:val="ListLabel 571"/>
    <w:qFormat/>
    <w:rPr>
      <w:rFonts w:cs="Courier New"/>
    </w:rPr>
  </w:style>
  <w:style w:type="character" w:styleId="ListLabel572">
    <w:name w:val="ListLabel 572"/>
    <w:qFormat/>
    <w:rPr>
      <w:rFonts w:cs="Wingdings"/>
    </w:rPr>
  </w:style>
  <w:style w:type="character" w:styleId="ListLabel573">
    <w:name w:val="ListLabel 573"/>
    <w:qFormat/>
    <w:rPr>
      <w:rFonts w:cs="Symbol"/>
    </w:rPr>
  </w:style>
  <w:style w:type="character" w:styleId="ListLabel574">
    <w:name w:val="ListLabel 574"/>
    <w:qFormat/>
    <w:rPr>
      <w:rFonts w:cs="Courier New"/>
    </w:rPr>
  </w:style>
  <w:style w:type="character" w:styleId="ListLabel575">
    <w:name w:val="ListLabel 575"/>
    <w:qFormat/>
    <w:rPr>
      <w:rFonts w:cs="Wingdings"/>
    </w:rPr>
  </w:style>
  <w:style w:type="character" w:styleId="ListLabel576">
    <w:name w:val="ListLabel 576"/>
    <w:qFormat/>
    <w:rPr>
      <w:rFonts w:cs="Symbol"/>
    </w:rPr>
  </w:style>
  <w:style w:type="character" w:styleId="ListLabel577">
    <w:name w:val="ListLabel 577"/>
    <w:qFormat/>
    <w:rPr>
      <w:rFonts w:cs="Courier New"/>
    </w:rPr>
  </w:style>
  <w:style w:type="character" w:styleId="ListLabel578">
    <w:name w:val="ListLabel 578"/>
    <w:qFormat/>
    <w:rPr>
      <w:rFonts w:cs="Wingdings"/>
    </w:rPr>
  </w:style>
  <w:style w:type="paragraph" w:styleId="Style17">
    <w:name w:val="Заголовок"/>
    <w:basedOn w:val="Normal"/>
    <w:next w:val="Style18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8">
    <w:name w:val="Body Text"/>
    <w:basedOn w:val="Normal"/>
    <w:pPr>
      <w:spacing w:lineRule="auto" w:line="288" w:before="0" w:after="140"/>
    </w:pPr>
    <w:rPr/>
  </w:style>
  <w:style w:type="paragraph" w:styleId="Style19">
    <w:name w:val="List"/>
    <w:basedOn w:val="Style18"/>
    <w:pPr/>
    <w:rPr>
      <w:rFonts w:cs="Arial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Arial"/>
    </w:rPr>
  </w:style>
  <w:style w:type="paragraph" w:styleId="Style22">
    <w:name w:val="Header"/>
    <w:basedOn w:val="Normal"/>
    <w:pPr>
      <w:tabs>
        <w:tab w:val="center" w:pos="4677" w:leader="none"/>
        <w:tab w:val="right" w:pos="9355" w:leader="none"/>
      </w:tabs>
    </w:pPr>
    <w:rPr/>
  </w:style>
  <w:style w:type="paragraph" w:styleId="Style23">
    <w:name w:val="Footer"/>
    <w:basedOn w:val="Normal"/>
    <w:pPr>
      <w:tabs>
        <w:tab w:val="center" w:pos="4677" w:leader="none"/>
        <w:tab w:val="right" w:pos="9355" w:leader="none"/>
      </w:tabs>
    </w:pPr>
    <w:rPr/>
  </w:style>
  <w:style w:type="paragraph" w:styleId="BalloonText">
    <w:name w:val="Balloon Text"/>
    <w:basedOn w:val="Normal"/>
    <w:qFormat/>
    <w:pPr/>
    <w:rPr>
      <w:rFonts w:ascii="Tahoma" w:hAnsi="Tahoma" w:cs="Tahoma"/>
      <w:sz w:val="16"/>
      <w:szCs w:val="16"/>
    </w:rPr>
  </w:style>
  <w:style w:type="paragraph" w:styleId="Default">
    <w:name w:val="Default"/>
    <w:qFormat/>
    <w:pPr>
      <w:widowControl/>
      <w:overflowPunct w:val="false"/>
      <w:bidi w:val="0"/>
      <w:jc w:val="left"/>
    </w:pPr>
    <w:rPr>
      <w:rFonts w:ascii="Times New Roman" w:hAnsi="Times New Roman" w:eastAsia="Calibri" w:cs="Times New Roman"/>
      <w:color w:val="000000"/>
      <w:sz w:val="24"/>
      <w:szCs w:val="24"/>
      <w:lang w:val="ru-RU" w:eastAsia="en-US" w:bidi="ar-SA"/>
    </w:rPr>
  </w:style>
  <w:style w:type="paragraph" w:styleId="Style24">
    <w:name w:val="Содержимое таблицы"/>
    <w:basedOn w:val="Normal"/>
    <w:qFormat/>
    <w:pPr/>
    <w:rPr/>
  </w:style>
  <w:style w:type="paragraph" w:styleId="Style25">
    <w:name w:val="Заголовок таблицы"/>
    <w:basedOn w:val="Style24"/>
    <w:qFormat/>
    <w:pPr/>
    <w:rPr/>
  </w:style>
  <w:style w:type="paragraph" w:styleId="Style26">
    <w:name w:val="Envelope Return"/>
    <w:basedOn w:val="Normal"/>
    <w:pPr/>
    <w:rPr/>
  </w:style>
  <w:style w:type="numbering" w:styleId="NoList">
    <w:name w:val="No List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yperlink" Target="mailto:admin@admilinskoe.ru" TargetMode="External"/><Relationship Id="rId4" Type="http://schemas.openxmlformats.org/officeDocument/2006/relationships/hyperlink" Target="mailto:admin@admilinskoe.ru" TargetMode="External"/><Relationship Id="rId5" Type="http://schemas.openxmlformats.org/officeDocument/2006/relationships/hyperlink" Target="mailto:admin@admilinskoe.ru" TargetMode="External"/><Relationship Id="rId6" Type="http://schemas.openxmlformats.org/officeDocument/2006/relationships/hyperlink" Target="mailto:admin@admilinskoe.ru" TargetMode="External"/><Relationship Id="rId7" Type="http://schemas.openxmlformats.org/officeDocument/2006/relationships/hyperlink" Target="mailto:admin@admilinskoe.ru" TargetMode="External"/><Relationship Id="rId8" Type="http://schemas.openxmlformats.org/officeDocument/2006/relationships/hyperlink" Target="http://www.admilinskoe.ru/" TargetMode="External"/><Relationship Id="rId9" Type="http://schemas.openxmlformats.org/officeDocument/2006/relationships/hyperlink" Target="http://www.admilinskoe.ru/" TargetMode="External"/><Relationship Id="rId10" Type="http://schemas.openxmlformats.org/officeDocument/2006/relationships/hyperlink" Target="http://www.admilinskoe.ru/" TargetMode="External"/><Relationship Id="rId11" Type="http://schemas.openxmlformats.org/officeDocument/2006/relationships/hyperlink" Target="http://www.admilinskoe.ru/" TargetMode="External"/><Relationship Id="rId12" Type="http://schemas.openxmlformats.org/officeDocument/2006/relationships/hyperlink" Target="http://www.admilinskoe.ru/" TargetMode="External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footer" Target="footer1.xml"/><Relationship Id="rId18" Type="http://schemas.openxmlformats.org/officeDocument/2006/relationships/image" Target="media/image6.jpeg"/><Relationship Id="rId19" Type="http://schemas.openxmlformats.org/officeDocument/2006/relationships/footer" Target="footer2.xml"/><Relationship Id="rId20" Type="http://schemas.openxmlformats.org/officeDocument/2006/relationships/image" Target="media/image7.jpeg"/><Relationship Id="rId21" Type="http://schemas.openxmlformats.org/officeDocument/2006/relationships/footer" Target="footer3.xml"/><Relationship Id="rId22" Type="http://schemas.openxmlformats.org/officeDocument/2006/relationships/image" Target="media/image8.jpeg"/><Relationship Id="rId23" Type="http://schemas.openxmlformats.org/officeDocument/2006/relationships/footer" Target="footer4.xml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footer" Target="footer5.xml"/><Relationship Id="rId29" Type="http://schemas.openxmlformats.org/officeDocument/2006/relationships/image" Target="media/image13.jpeg"/><Relationship Id="rId30" Type="http://schemas.openxmlformats.org/officeDocument/2006/relationships/image" Target="media/image14.jpeg"/><Relationship Id="rId31" Type="http://schemas.openxmlformats.org/officeDocument/2006/relationships/image" Target="media/image15.jpeg"/><Relationship Id="rId32" Type="http://schemas.openxmlformats.org/officeDocument/2006/relationships/image" Target="media/image16.jpeg"/><Relationship Id="rId33" Type="http://schemas.openxmlformats.org/officeDocument/2006/relationships/footer" Target="footer6.xml"/><Relationship Id="rId34" Type="http://schemas.openxmlformats.org/officeDocument/2006/relationships/image" Target="media/image17.png"/><Relationship Id="rId35" Type="http://schemas.openxmlformats.org/officeDocument/2006/relationships/image" Target="media/image18.png"/><Relationship Id="rId36" Type="http://schemas.openxmlformats.org/officeDocument/2006/relationships/image" Target="media/image19.jpeg"/><Relationship Id="rId37" Type="http://schemas.openxmlformats.org/officeDocument/2006/relationships/footer" Target="footer7.xml"/><Relationship Id="rId38" Type="http://schemas.openxmlformats.org/officeDocument/2006/relationships/image" Target="media/image20.png"/><Relationship Id="rId39" Type="http://schemas.openxmlformats.org/officeDocument/2006/relationships/image" Target="media/image21.png"/><Relationship Id="rId40" Type="http://schemas.openxmlformats.org/officeDocument/2006/relationships/image" Target="media/image22.png"/><Relationship Id="rId41" Type="http://schemas.openxmlformats.org/officeDocument/2006/relationships/image" Target="media/image23.png"/><Relationship Id="rId42" Type="http://schemas.openxmlformats.org/officeDocument/2006/relationships/image" Target="media/image24.png"/><Relationship Id="rId43" Type="http://schemas.openxmlformats.org/officeDocument/2006/relationships/image" Target="media/image25.png"/><Relationship Id="rId44" Type="http://schemas.openxmlformats.org/officeDocument/2006/relationships/footer" Target="footer8.xml"/><Relationship Id="rId45" Type="http://schemas.openxmlformats.org/officeDocument/2006/relationships/fontTable" Target="fontTable.xml"/><Relationship Id="rId4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5850</TotalTime>
  <Application>LibreOffice/5.2.3.3$Windows_X86_64 LibreOffice_project/d54a8868f08a7b39642414cf2c8ef2f228f780cf</Application>
  <Pages>36</Pages>
  <Words>4959</Words>
  <Characters>36709</Characters>
  <CharactersWithSpaces>41803</CharactersWithSpaces>
  <Paragraphs>703</Paragraphs>
  <Company>.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2014-02-04T07:35:00Z</dcterms:created>
  <dc:creator>.</dc:creator>
  <dc:description/>
  <dc:language>ru-RU</dc:language>
  <cp:lastModifiedBy/>
  <cp:lastPrinted>2022-07-19T12:48:50Z</cp:lastPrinted>
  <dcterms:modified xsi:type="dcterms:W3CDTF">2022-08-03T12:23:08Z</dcterms:modified>
  <cp:revision>133</cp:revision>
  <dc:subject/>
  <dc:title>ИНВЕСТИЦИОННЫЙ ПАСПОРТ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.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