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АДМИНИСТРАЦИЯ ИЛЬИНСКОГО МУНИЦИПАЛЬНОГО РАЙОНА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ИВАНОВСКОЙ ОБЛАСТИ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2"/>
          <w:szCs w:val="32"/>
        </w:rPr>
        <w:t>ПОСТАНОВЛЕНИЕ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Standard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от 18.07.2022 № 212</w:t>
      </w:r>
    </w:p>
    <w:p>
      <w:pPr>
        <w:pStyle w:val="Standard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п. Ильинское-Хованское</w:t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jc w:val="center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</w:rPr>
        <w:t>«Об утверждении</w:t>
      </w:r>
      <w:r>
        <w:rPr/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Методики определения нормативных затрат </w:t>
      </w:r>
    </w:p>
    <w:p>
      <w:pPr>
        <w:pStyle w:val="Normal"/>
        <w:widowControl/>
        <w:spacing w:lineRule="auto" w:line="240" w:before="0" w:after="0"/>
        <w:ind w:hanging="0"/>
        <w:jc w:val="center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 оказание муниципальных услуг по реализации дополнительных общеразвивающих программ</w:t>
      </w:r>
      <w:r>
        <w:rPr>
          <w:rFonts w:cs="Times New Roman" w:ascii="Times New Roman" w:hAnsi="Times New Roman"/>
          <w:b/>
          <w:spacing w:val="2"/>
          <w:sz w:val="28"/>
          <w:szCs w:val="28"/>
        </w:rPr>
        <w:t>»</w:t>
      </w:r>
    </w:p>
    <w:p>
      <w:pPr>
        <w:pStyle w:val="Normal"/>
        <w:widowControl/>
        <w:spacing w:lineRule="auto" w:line="240" w:before="0" w:after="0"/>
        <w:ind w:hanging="0"/>
        <w:jc w:val="center"/>
        <w:rPr>
          <w:rFonts w:ascii="Times New Roman" w:hAnsi="Times New Roman" w:cs="Times New Roman"/>
          <w:b/>
          <w:b/>
          <w:color w:val="000000"/>
          <w:sz w:val="28"/>
          <w:szCs w:val="28"/>
        </w:rPr>
      </w:pPr>
      <w:r>
        <w:rPr/>
      </w:r>
    </w:p>
    <w:p>
      <w:pPr>
        <w:pStyle w:val="Normal"/>
        <w:widowControl/>
        <w:numPr>
          <w:ilvl w:val="0"/>
          <w:numId w:val="0"/>
        </w:numPr>
        <w:shd w:val="clear" w:color="auto" w:fill="FFFFFF"/>
        <w:spacing w:lineRule="auto" w:line="240" w:before="0" w:after="0"/>
        <w:ind w:hanging="0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ab/>
        <w:t xml:space="preserve">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24.12.2018 № 16, на основании </w:t>
      </w:r>
      <w:r>
        <w:rPr>
          <w:rFonts w:cs="Times New Roman" w:ascii="Times New Roman" w:hAnsi="Times New Roman"/>
          <w:sz w:val="28"/>
          <w:szCs w:val="28"/>
        </w:rPr>
        <w:t>Приказа  Минпросвещения России от 22 сентября 2021 г. № 662 «Об утверждении общих требований к определению нормативных затрат на оказание государственных (муниципальных) услуг в сфере дошкольного, начального общего, основного общего, среднего общего, среднего профессионального образования, дополнительного образования детей и взрослых, дополнительного профессионального образования для лиц, имеющих или получающих среднее профессиональное образование, профессионального обучения, опеки и попечительства несовершенно-летних граждан,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,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постановления Администрации  Ильинского муниципального района от 11.07.2022 № 198 «Об утверждении Правил персонифицированного финансирования дополнительного образования детей в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Ильинском муниципальном районе</w:t>
      </w:r>
      <w:r>
        <w:rPr>
          <w:rFonts w:cs="Times New Roman" w:ascii="Times New Roman" w:hAnsi="Times New Roman"/>
          <w:spacing w:val="2"/>
          <w:sz w:val="28"/>
          <w:szCs w:val="28"/>
        </w:rPr>
        <w:t>»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руководствуясь Уставом Ильинского муниципального района администрация Ильинского муниципального района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п о с т а н о в л я е т: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0" w:firstLine="709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Утвердить </w:t>
      </w:r>
      <w:r>
        <w:rPr>
          <w:rFonts w:cs="Times New Roman" w:ascii="Times New Roman" w:hAnsi="Times New Roman"/>
          <w:bCs/>
          <w:sz w:val="28"/>
          <w:szCs w:val="28"/>
        </w:rPr>
        <w:t>методику определения нормативных затрат на оказание муниципальных услуг по реализации дополнительных  общеразвивающих программ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</w:rPr>
        <w:t>согласно приложению.</w:t>
      </w:r>
    </w:p>
    <w:p>
      <w:pPr>
        <w:pStyle w:val="ListParagraph"/>
        <w:spacing w:lineRule="auto" w:line="240" w:before="0" w:after="0"/>
        <w:ind w:left="0" w:right="53" w:firstLine="7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Опубликовать (обнародовать) настоящее постановление в официальном сетевом издании - официальном сайте Ильинского муниципального района Ивановской области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</w:rPr>
        <w:t>www</w:t>
      </w:r>
      <w:hyperlink r:id="rId2">
        <w:r>
          <w:rPr>
            <w:rFonts w:eastAsia="" w:cs="Times New Roman" w:ascii="Times New Roman" w:hAnsi="Times New Roman" w:eastAsiaTheme="majorEastAsia"/>
            <w:color w:val="000000"/>
            <w:sz w:val="28"/>
            <w:szCs w:val="28"/>
            <w:u w:val="none"/>
            <w:lang w:val="en-US"/>
          </w:rPr>
          <w:t>.admilinskoe.ru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3. Настоящее постановление вступает в силу после его официального опубликования (обнародования).</w:t>
      </w:r>
    </w:p>
    <w:p>
      <w:pPr>
        <w:pStyle w:val="Normal"/>
        <w:spacing w:lineRule="auto" w:line="240" w:before="0" w:after="0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4. Отменить постановление администрации Ильинского муниципального района Ивановской области от 11.05.2022 № 124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«Об утверждении</w:t>
      </w:r>
      <w:r>
        <w:rPr/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Методики определения нормативных затрат на оказание муниципальных услуг по реализации дополнительных общеразвивающих программ</w:t>
      </w:r>
      <w:r>
        <w:rPr>
          <w:rFonts w:cs="Times New Roman" w:ascii="Times New Roman" w:hAnsi="Times New Roman"/>
          <w:spacing w:val="2"/>
          <w:sz w:val="28"/>
          <w:szCs w:val="28"/>
        </w:rPr>
        <w:t>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Контроль за исполнением настоящего постановления возложить на заместителя главы администрации, начальника отдела образования Л.М. Соборнову.</w:t>
      </w:r>
    </w:p>
    <w:p>
      <w:pPr>
        <w:pStyle w:val="Style27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right="2948" w:firstLine="7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2948" w:firstLine="72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7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Глава Ильинского</w:t>
      </w:r>
    </w:p>
    <w:p>
      <w:pPr>
        <w:pStyle w:val="Normal"/>
        <w:spacing w:lineRule="auto" w:line="240" w:before="0" w:after="0"/>
        <w:ind w:hanging="1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района                                                        С.И. Васютинский</w:t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widowControl/>
        <w:spacing w:lineRule="auto" w:line="240" w:before="0" w:after="0"/>
        <w:ind w:hang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sectPr>
          <w:type w:val="nextPage"/>
          <w:pgSz w:w="11906" w:h="1679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Приложение </w:t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к постановлению </w:t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>от 18.07.2022 №  212</w:t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Методика определения нормативных затрат на оказание муниципальных услуг по реализации дополнительных общеразвивающих программ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42" w:leader="none"/>
        </w:tabs>
        <w:spacing w:lineRule="auto" w:line="240" w:before="0" w:after="0"/>
        <w:ind w:left="0" w:firstLine="709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Общие положения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Настоящая методика определения нормативных затрат на оказание муниципальных услуг по реализации дополнительных общеразвивающих программ устанавливает порядок определения величины составляющих базовых нормативов затрат.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>Настоящая методика применяется Отделом образования администрации Ильинского муниципального района, который выполняет функции учредителя организаций, реализующих дополнительные общеразвивающие программы, при оказании услуг по реализации дополнительных общеразвивающих программ в системе персонифицированного финансирования. Значения основных параметров и отраслевых коэффициентов, используемых для определения нормативных затрат на оказание муниципальных услуг по реализации дополнительных общеразвивающих программ, устанавливаются нормативными актами Отдела образования администрации Ильинского муниципального района (далее – уполномоченный орган).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Настоящая </w:t>
      </w:r>
      <w:r>
        <w:rPr>
          <w:rFonts w:cs="Times New Roman" w:ascii="Times New Roman" w:hAnsi="Times New Roman"/>
          <w:bCs/>
          <w:sz w:val="28"/>
          <w:szCs w:val="28"/>
        </w:rPr>
        <w:t>М</w:t>
      </w:r>
      <w:r>
        <w:rPr>
          <w:rFonts w:cs="Times New Roman" w:ascii="Times New Roman" w:hAnsi="Times New Roman"/>
          <w:sz w:val="28"/>
          <w:szCs w:val="28"/>
        </w:rPr>
        <w:t xml:space="preserve">етодика </w:t>
      </w:r>
      <w:r>
        <w:rPr>
          <w:rFonts w:cs="Times New Roman" w:ascii="Times New Roman" w:hAnsi="Times New Roman"/>
          <w:spacing w:val="-1"/>
          <w:sz w:val="28"/>
          <w:szCs w:val="28"/>
        </w:rPr>
        <w:t>разработана в целях:</w:t>
      </w:r>
    </w:p>
    <w:p>
      <w:pPr>
        <w:pStyle w:val="Normal"/>
        <w:shd w:val="clear" w:color="auto" w:fill="FFFFFF"/>
        <w:tabs>
          <w:tab w:val="clear" w:pos="708"/>
          <w:tab w:val="left" w:pos="902" w:leader="none"/>
        </w:tabs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установления экономически обоснованных механизмов и единых методов определения </w:t>
      </w:r>
      <w:r>
        <w:rPr>
          <w:rFonts w:cs="Times New Roman" w:ascii="Times New Roman" w:hAnsi="Times New Roman"/>
          <w:sz w:val="28"/>
          <w:szCs w:val="28"/>
        </w:rPr>
        <w:t>нормативных затрат на оказание муниципальных услуг по реализации дополнительных общеразвивающих программ</w:t>
      </w:r>
      <w:r>
        <w:rPr>
          <w:rFonts w:cs="Times New Roman" w:ascii="Times New Roman" w:hAnsi="Times New Roman"/>
          <w:spacing w:val="-1"/>
          <w:sz w:val="28"/>
          <w:szCs w:val="28"/>
        </w:rPr>
        <w:t>;</w:t>
      </w:r>
    </w:p>
    <w:p>
      <w:pPr>
        <w:pStyle w:val="Normal"/>
        <w:shd w:val="clear" w:color="auto" w:fill="FFFFFF"/>
        <w:tabs>
          <w:tab w:val="clear" w:pos="708"/>
          <w:tab w:val="left" w:pos="883" w:leader="none"/>
        </w:tabs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обеспечения финансовой прозрачности процедур планирования объемов бюджетных ассигнований на финансовое обеспечение дополнительного образования.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1134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Образовательные организации, организации, осуществляющие обучение (в том числе организации спорта и культуры), реализующие дополнительные общеразвивающие программы в рамках системы персонифицированного финансирования, вправе установить цену оказания муниципальной услуги по реализации дополнительной общеразвивающей программы в расчете на человеко-час в размере, меньшем, чем нормативные затраты, рассчитанные в порядке, установленном настоящей методикой</w:t>
      </w:r>
      <w:r>
        <w:rPr>
          <w:rFonts w:cs="Times New Roman" w:ascii="Times New Roman" w:hAnsi="Times New Roman"/>
          <w:spacing w:val="-2"/>
          <w:sz w:val="28"/>
          <w:szCs w:val="28"/>
        </w:rPr>
        <w:t>.</w:t>
      </w:r>
    </w:p>
    <w:p>
      <w:pPr>
        <w:pStyle w:val="Normal"/>
        <w:shd w:val="clear" w:color="auto" w:fill="FFFFFF"/>
        <w:tabs>
          <w:tab w:val="clear" w:pos="708"/>
          <w:tab w:val="left" w:pos="883" w:leader="none"/>
        </w:tabs>
        <w:spacing w:lineRule="auto" w:line="240" w:before="0" w:after="0"/>
        <w:ind w:firstLine="885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</w:r>
    </w:p>
    <w:p>
      <w:pPr>
        <w:pStyle w:val="Normal"/>
        <w:widowControl/>
        <w:numPr>
          <w:ilvl w:val="0"/>
          <w:numId w:val="2"/>
        </w:numPr>
        <w:tabs>
          <w:tab w:val="clear" w:pos="708"/>
          <w:tab w:val="left" w:pos="142" w:leader="none"/>
        </w:tabs>
        <w:spacing w:lineRule="auto" w:line="240" w:before="0" w:after="0"/>
        <w:ind w:left="0" w:firstLine="885"/>
        <w:outlineLvl w:val="1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Расчет нормативных затрат на оказание муниципальных услуг по реализации дополнительных общеразвивающих программ</w:t>
      </w:r>
    </w:p>
    <w:p>
      <w:pPr>
        <w:pStyle w:val="Style28"/>
        <w:spacing w:lineRule="auto" w:line="240" w:before="0" w:after="0"/>
        <w:ind w:firstLine="88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widowControl/>
        <w:numPr>
          <w:ilvl w:val="0"/>
          <w:numId w:val="5"/>
        </w:numPr>
        <w:overflowPunct w:val="true"/>
        <w:spacing w:lineRule="auto" w:line="240" w:before="0" w:after="0"/>
        <w:ind w:left="0" w:hanging="36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eastAsia="MS PGothic" w:cs="Times New Roman" w:ascii="Times New Roman" w:hAnsi="Times New Roman"/>
          <w:bCs/>
          <w:kern w:val="2"/>
          <w:sz w:val="28"/>
          <w:szCs w:val="28"/>
        </w:rPr>
        <w:t>Нормативные затраты на оказание муниципальных  услуг по реализации дополнительных общеразвивающих программ определяются в расчете на человеко-час по каждому виду и направленности образовательных программ с учетом форм обучения,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Федеральным законом № 273-ФЗ особенностей организации и осуществления образовательных услуг (для различных категорий обучающихся).</w:t>
      </w:r>
    </w:p>
    <w:p>
      <w:pPr>
        <w:pStyle w:val="Normal"/>
        <w:widowControl/>
        <w:numPr>
          <w:ilvl w:val="0"/>
          <w:numId w:val="1"/>
        </w:numPr>
        <w:overflowPunct w:val="true"/>
        <w:spacing w:lineRule="auto" w:line="240" w:before="0" w:after="0"/>
        <w:ind w:left="0"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Нормативные затраты на оказание муниципальных услуг по реализации дополнительных общеразвивающих программ определяются по следующей формуле: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left="568" w:firstLine="720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  <m:r>
          <w:rPr>
            <w:rFonts w:ascii="Cambria Math" w:hAnsi="Cambria Math"/>
          </w:rPr>
          <m:t xml:space="preserve">=</m:t>
        </m:r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</m:sSub>
        <m:r>
          <w:rPr>
            <w:rFonts w:ascii="Cambria Math" w:hAnsi="Cambria Math"/>
          </w:rPr>
          <m:t xml:space="preserve">×</m:t>
        </m:r>
        <m:sSub>
          <m:e>
            <m:r>
              <w:rPr>
                <w:rFonts w:ascii="Cambria Math" w:hAnsi="Cambria Math"/>
              </w:rPr>
              <m:t xml:space="preserve">K</m:t>
            </m:r>
          </m:e>
          <m:sub>
            <m:r>
              <w:rPr>
                <w:rFonts w:ascii="Cambria Math" w:hAnsi="Cambria Math"/>
              </w:rPr>
              <m:t xml:space="preserve">отр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, где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>нормативные затраты на оказание i-ой муниципальной услуги по реализации дополнительных общеразвивающих программ;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базовый норматив затрат на оказание i-той муниципальной услуги по реализации дополнительных общеразвивающих программ;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K</m:t>
            </m:r>
          </m:e>
          <m:sub>
            <m:r>
              <w:rPr>
                <w:rFonts w:ascii="Cambria Math" w:hAnsi="Cambria Math"/>
              </w:rPr>
              <m:t xml:space="preserve">отр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отраслевой корректирующий коэффициент, отражающий объективные характеристики образовательных организаций и специфику оказываемых ими услуг по реализации дополнительных общеобразовательных общеразвивающих программ, включая форму обучения, сетевую форму реализации образовательных программ, образовательные технологии, специальные условия получения образования обучающимися с ограниченными возможностями здоровья. Значения отраслевых коэффициентов устанавливаются уполномоченным органом.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Базовый норматив затрат на оказание i-той муниципальной услуги по реализации дополнительных общеразвивающих программ рассчитываются по следующей формуле: 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left="568" w:firstLine="720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</m:sSub>
        <m:r>
          <w:rPr>
            <w:rFonts w:ascii="Cambria Math" w:hAnsi="Cambria Math"/>
          </w:rPr>
          <m:t xml:space="preserve">=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непоср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общ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, где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базовый норматив затрат на оказание i-той муниципальной услуги по реализации дополнительных общеразвивающих программ;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непоср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базовый норматив затрат, непосредственно связанных с оказанием i-ой муниципальной услуги по реализации дополнительных общеразвивающих программ;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firstLine="568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общ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 xml:space="preserve">базовый норматив затрат на общехозяйственные нужды на оказание i-ой муниципальной услуги по реализации дополнительных общеразвивающих программ.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Базовый норматив затрат, непосредственно связанных с оказанием i-ой муниципальной услуги по реализации дополнительных общеразвивающих программ, рассчитывается по следующей формуле:</w:t>
      </w:r>
    </w:p>
    <w:p>
      <w:pPr>
        <w:pStyle w:val="ListParagraph"/>
        <w:tabs>
          <w:tab w:val="clear" w:pos="708"/>
          <w:tab w:val="left" w:pos="851" w:leader="none"/>
        </w:tabs>
        <w:spacing w:lineRule="auto" w:line="240" w:before="0" w:after="0"/>
        <w:ind w:left="568" w:firstLine="720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sz w:val="28"/>
          <w:szCs w:val="28"/>
        </w:rPr>
        <w:tab/>
      </w: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непоср</m:t>
            </m:r>
          </m:sup>
        </m:sSubSup>
        <m:r>
          <w:rPr>
            <w:rFonts w:ascii="Cambria Math" w:hAnsi="Cambria Math"/>
          </w:rPr>
          <m:t xml:space="preserve">=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1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ИНЗ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МЗ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</m:t>
            </m:r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>, где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18" w:leader="none"/>
        </w:tabs>
        <w:spacing w:lineRule="auto" w:line="240" w:before="0" w:after="0"/>
        <w:ind w:left="0" w:firstLine="567"/>
        <w:rPr>
          <w:rFonts w:ascii="Times New Roman" w:hAnsi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1</m:t>
            </m:r>
          </m:sup>
        </m:sSubSup>
      </m:oMath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затраты на оплату труда педагогических работников, непосредственно связанных с оказанием i-ой муниципальной услуги </w:t>
      </w:r>
      <w:r>
        <w:rPr>
          <w:rFonts w:eastAsia="MS PGothic" w:ascii="Times New Roman" w:hAnsi="Times New Roman"/>
          <w:bCs/>
          <w:kern w:val="2"/>
          <w:sz w:val="28"/>
          <w:szCs w:val="28"/>
        </w:rPr>
        <w:t>по реализации дополнительных общеразвивающих программ</w:t>
      </w:r>
      <w:r>
        <w:rPr>
          <w:rFonts w:ascii="Times New Roman" w:hAnsi="Times New Roman"/>
          <w:sz w:val="28"/>
          <w:szCs w:val="28"/>
        </w:rPr>
        <w:t>, в том числе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 заболеваний, рассчитываемый по формуле: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>
          <w:rFonts w:eastAsia="MS PGothic" w:cs="Times New Roman" w:ascii="Times New Roman" w:hAnsi="Times New Roman"/>
          <w:bCs/>
          <w:kern w:val="2"/>
          <w:sz w:val="28"/>
          <w:szCs w:val="28"/>
        </w:rPr>
        <w:t xml:space="preserve"> </w:t>
      </w: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1</m:t>
            </m:r>
          </m:sup>
        </m:sSubSup>
        <m:r>
          <w:rPr>
            <w:rFonts w:ascii="Cambria Math" w:hAnsi="Cambria Math"/>
          </w:rPr>
          <m:t xml:space="preserve">=</m:t>
        </m:r>
        <m:f>
          <m:fPr>
            <m:type m:val="lin"/>
          </m:fPr>
          <m:num>
            <m:f>
              <m:fPr>
                <m:type m:val="lin"/>
              </m:fPr>
              <m:num>
                <m:r>
                  <w:rPr>
                    <w:rFonts w:ascii="Cambria Math" w:hAnsi="Cambria Math"/>
                  </w:rPr>
                  <m:t xml:space="preserve">W</m:t>
                </m:r>
              </m:num>
              <m:den>
                <m:sSub>
                  <m:e>
                    <m:r>
                      <w:rPr>
                        <w:rFonts w:ascii="Cambria Math" w:hAnsi="Cambria Math"/>
                      </w:rPr>
                      <m:t xml:space="preserve"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сред</m:t>
                    </m:r>
                  </m:sub>
                </m:sSub>
              </m:den>
            </m:f>
          </m:num>
          <m:den>
            <m:sSub>
              <m:e>
                <m:r>
                  <w:rPr>
                    <w:rFonts w:ascii="Cambria Math" w:hAnsi="Cambria Math"/>
                  </w:rPr>
                  <m:t xml:space="preserve">V</m:t>
                </m:r>
              </m:e>
              <m:sub>
                <m:r>
                  <w:rPr>
                    <w:rFonts w:ascii="Cambria Math" w:hAnsi="Cambria Math"/>
                  </w:rPr>
                  <m:t xml:space="preserve">час</m:t>
                </m:r>
              </m:sub>
            </m:sSub>
          </m:den>
        </m:f>
      </m:oMath>
      <w:r>
        <w:rPr>
          <w:rFonts w:eastAsia="MS PGothic" w:cs="Times New Roman" w:ascii="Times New Roman" w:hAnsi="Times New Roman"/>
          <w:sz w:val="28"/>
          <w:szCs w:val="28"/>
        </w:rPr>
        <w:t>, где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W</m:t>
        </m:r>
      </m:oMath>
      <w:r>
        <w:rPr>
          <w:rStyle w:val="2"/>
          <w:rFonts w:eastAsia="Courier New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годовой фонд оплаты труда штатной единицы работников, непосредственно связанных с оказанием муниципальной услуги психолого-педагогической, методической и консультативной помощи,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медицинское страхование от несчастных случаев на производстве и профессиональных заболеваний на соответствующий финансовый год;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Q</m:t>
            </m:r>
          </m:e>
          <m:sub>
            <m:r>
              <w:rPr>
                <w:rFonts w:ascii="Cambria Math" w:hAnsi="Cambria Math"/>
              </w:rPr>
              <m:t xml:space="preserve">сред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среднее число учащихся в расчете на 1 педагогического работника на соответствующий год, значение устанавливается уполномоченным органом;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V</m:t>
            </m:r>
          </m:e>
          <m:sub>
            <m:r>
              <w:rPr>
                <w:rFonts w:ascii="Cambria Math" w:hAnsi="Cambria Math"/>
              </w:rPr>
              <m:t xml:space="preserve">час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средняя норма времени в год на одного ребенка, значение устанавливается уполномоченным органом;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18" w:leader="none"/>
        </w:tabs>
        <w:spacing w:lineRule="auto" w:line="240" w:before="0" w:after="0"/>
        <w:ind w:left="0" w:firstLine="567"/>
        <w:rPr>
          <w:rFonts w:ascii="Times New Roman" w:hAnsi="Times New Roman" w:cs="Times New Roman"/>
          <w:i/>
          <w:i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ИНЗ</m:t>
            </m:r>
          </m:sup>
        </m:sSubSup>
      </m:oMath>
      <w:r>
        <w:rPr>
          <w:rFonts w:cs="Times New Roman"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iCs/>
          <w:spacing w:val="-1"/>
          <w:sz w:val="28"/>
          <w:szCs w:val="28"/>
        </w:rPr>
        <w:t xml:space="preserve">– </w:t>
      </w:r>
      <w:r>
        <w:rPr>
          <w:rFonts w:cs="Times New Roman" w:ascii="Times New Roman" w:hAnsi="Times New Roman"/>
          <w:iCs/>
          <w:spacing w:val="-1"/>
          <w:sz w:val="28"/>
          <w:szCs w:val="28"/>
        </w:rPr>
        <w:t>затраты на повышение квалификации и затраты на прохождение медицинских осмотров педагогическими работниками, непосредственно связанными с оказанием i-ой муниципальной услуги по реализации дополнительных общеразвивающих программ, которые определяются по формуле: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ИНЗ</m:t>
            </m:r>
          </m:sup>
        </m:sSubSup>
      </m:oMath>
      <w:r>
        <w:rPr>
          <w:rFonts w:eastAsia="MS PGothic"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eastAsia="MS PGothic" w:cs="Times New Roman" w:ascii="Times New Roman" w:hAnsi="Times New Roman"/>
          <w:spacing w:val="-1"/>
          <w:sz w:val="28"/>
          <w:szCs w:val="28"/>
        </w:rPr>
        <w:t xml:space="preserve">= </w:t>
      </w: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КВАЛ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МЕД</m:t>
            </m:r>
          </m:sup>
        </m:sSubSup>
      </m:oMath>
      <w:r>
        <w:rPr>
          <w:rFonts w:eastAsia="MS PGothic" w:cs="Times New Roman" w:ascii="Times New Roman" w:hAnsi="Times New Roman"/>
          <w:spacing w:val="-1"/>
          <w:sz w:val="28"/>
          <w:szCs w:val="28"/>
        </w:rPr>
        <w:t>, где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КВАЛ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 xml:space="preserve">затраты на повышение квалификации педагогических работников, включая затраты на суточные и расходы на проживание педагогических работников на время повышения квалификации, за исключением затрат на приобретение транспортных услуг, </w:t>
      </w:r>
      <w:r>
        <w:rPr>
          <w:rFonts w:eastAsia="MS PGothic" w:cs="Times New Roman" w:ascii="Times New Roman" w:hAnsi="Times New Roman"/>
          <w:bCs/>
          <w:kern w:val="2"/>
          <w:sz w:val="28"/>
          <w:szCs w:val="28"/>
        </w:rPr>
        <w:t>которые определяются по формуле: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КВАЛ</m:t>
            </m:r>
          </m:sup>
        </m:sSubSup>
        <m:r>
          <w:rPr>
            <w:rFonts w:ascii="Cambria Math" w:hAnsi="Cambria Math"/>
          </w:rPr>
          <m:t xml:space="preserve">=</m:t>
        </m:r>
        <m:sSub>
          <m:e>
            <m:r>
              <w:rPr>
                <w:rFonts w:ascii="Cambria Math" w:hAnsi="Cambria Math"/>
              </w:rPr>
              <m:t xml:space="preserve">L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</m:sSub>
        <m:r>
          <w:rPr>
            <w:rFonts w:ascii="Cambria Math" w:hAnsi="Cambria Math"/>
          </w:rPr>
          <m:t xml:space="preserve">×</m:t>
        </m:r>
        <m:f>
          <m:fPr>
            <m:type m:val="lin"/>
          </m:fPr>
          <m:num>
            <m:f>
              <m:fPr>
                <m:type m:val="lin"/>
              </m:fPr>
              <m:num>
                <m:f>
                  <m:fPr>
                    <m:type m:val="lin"/>
                  </m:fPr>
                  <m:num>
                    <m:sSubSup>
                      <m:e>
                        <m:r>
                          <w:rPr>
                            <w:rFonts w:ascii="Cambria Math" w:hAnsi="Cambria Math"/>
                          </w:rPr>
                          <m:t xml:space="preserve"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баз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 xml:space="preserve">квал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</w:rPr>
                      <m:t xml:space="preserve">3</m:t>
                    </m:r>
                  </m:den>
                </m:f>
              </m:num>
              <m:den>
                <m:sSub>
                  <m:e>
                    <m:r>
                      <w:rPr>
                        <w:rFonts w:ascii="Cambria Math" w:hAnsi="Cambria Math"/>
                      </w:rPr>
                      <m:t xml:space="preserve"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сред</m:t>
                    </m:r>
                  </m:sub>
                </m:sSub>
              </m:den>
            </m:f>
          </m:num>
          <m:den>
            <m:sSub>
              <m:e>
                <m:r>
                  <w:rPr>
                    <w:rFonts w:ascii="Cambria Math" w:hAnsi="Cambria Math"/>
                  </w:rPr>
                  <m:t xml:space="preserve">V</m:t>
                </m:r>
              </m:e>
              <m:sub>
                <m:r>
                  <w:rPr>
                    <w:rFonts w:ascii="Cambria Math" w:hAnsi="Cambria Math"/>
                  </w:rPr>
                  <m:t xml:space="preserve">час</m:t>
                </m:r>
              </m:sub>
            </m:sSub>
          </m:den>
        </m:f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где</m:t>
        </m:r>
      </m:oMath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L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</m:sSub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продолжительность программы повышения квалификации в днях, значение устанавливается уполномоченным органом;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C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квал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сумма затрат на повышение квалификации педагогических работников, включая размер расходов по найму жилого помещения, размер суточных при служебном командировании, стоимость программы повышения квалификации в день, значение устанавливается уполномоченным органом;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3</m:t>
        </m:r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периодичность повышения квалификации, в соответствии с Общими требованиями к определению нормативных затрат на оказание муниципальных услуг в сфере образования, науки и молодежной политики, применяемых при расчете объема субсидии на финансовое обеспечение выполнения муниципального задания на оказание муниципальных услуг (выполнения работ) муниципальным учреждением, установленная Общими требованиями;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МЕД</m:t>
            </m:r>
          </m:sup>
        </m:sSubSup>
        <m:r>
          <w:rPr>
            <w:rFonts w:ascii="Cambria Math" w:hAnsi="Cambria Math"/>
          </w:rPr>
          <m:t xml:space="preserve">−</m:t>
        </m:r>
      </m:oMath>
      <w:r>
        <w:rPr>
          <w:rFonts w:cs="Times New Roman" w:ascii="Times New Roman" w:hAnsi="Times New Roman"/>
          <w:sz w:val="28"/>
          <w:szCs w:val="28"/>
        </w:rPr>
        <w:t>затраты на прохождение педагогическими работниками медицинских осмотров</w:t>
      </w:r>
      <w:r>
        <w:rPr>
          <w:rFonts w:eastAsia="MS PGothic" w:cs="Times New Roman" w:ascii="Times New Roman" w:hAnsi="Times New Roman"/>
          <w:bCs/>
          <w:kern w:val="2"/>
          <w:sz w:val="28"/>
          <w:szCs w:val="28"/>
        </w:rPr>
        <w:t>, которые определяются по формуле: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МЕД</m:t>
            </m:r>
          </m:sup>
        </m:sSubSup>
        <m:r>
          <w:rPr>
            <w:rFonts w:ascii="Cambria Math" w:hAnsi="Cambria Math"/>
          </w:rPr>
          <m:t xml:space="preserve">=</m:t>
        </m:r>
        <m:f>
          <m:fPr>
            <m:type m:val="lin"/>
          </m:fPr>
          <m:num>
            <m:f>
              <m:fPr>
                <m:type m:val="lin"/>
              </m:fPr>
              <m:num>
                <m:sSubSup>
                  <m:e>
                    <m:r>
                      <w:rPr>
                        <w:rFonts w:ascii="Cambria Math" w:hAnsi="Cambria Math"/>
                      </w:rPr>
                      <m:t xml:space="preserve"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МЕД</m:t>
                    </m:r>
                  </m:sup>
                </m:sSubSup>
              </m:num>
              <m:den>
                <m:sSub>
                  <m:e>
                    <m:r>
                      <w:rPr>
                        <w:rFonts w:ascii="Cambria Math" w:hAnsi="Cambria Math"/>
                      </w:rPr>
                      <m:t xml:space="preserve"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сред</m:t>
                    </m:r>
                  </m:sub>
                </m:sSub>
              </m:den>
            </m:f>
          </m:num>
          <m:den>
            <m:sSub>
              <m:e>
                <m:r>
                  <w:rPr>
                    <w:rFonts w:ascii="Cambria Math" w:hAnsi="Cambria Math"/>
                  </w:rPr>
                  <m:t xml:space="preserve">V</m:t>
                </m:r>
              </m:e>
              <m:sub>
                <m:r>
                  <w:rPr>
                    <w:rFonts w:ascii="Cambria Math" w:hAnsi="Cambria Math"/>
                  </w:rPr>
                  <m:t xml:space="preserve">час</m:t>
                </m:r>
              </m:sub>
            </m:sSub>
          </m:den>
        </m:f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где</m:t>
        </m:r>
      </m:oMath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C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МЕД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pacing w:val="-1"/>
          <w:sz w:val="28"/>
          <w:szCs w:val="28"/>
        </w:rPr>
        <w:t>с</w:t>
      </w:r>
      <w:r>
        <w:rPr>
          <w:rFonts w:cs="Times New Roman" w:ascii="Times New Roman" w:hAnsi="Times New Roman"/>
          <w:sz w:val="28"/>
          <w:szCs w:val="28"/>
        </w:rPr>
        <w:t>тоимость консультации врачей, медицинских исследований и анализов, значение устанавливается уполномоченным органом.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18" w:leader="none"/>
        </w:tabs>
        <w:spacing w:lineRule="auto" w:line="240" w:before="0" w:after="0"/>
        <w:ind w:left="0" w:firstLine="567"/>
        <w:rPr>
          <w:rFonts w:ascii="Times New Roman" w:hAnsi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МЗ</m:t>
            </m:r>
          </m:sup>
        </m:sSubSup>
      </m:oMath>
      <w:r>
        <w:rPr>
          <w:rFonts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 xml:space="preserve">– </w:t>
      </w:r>
      <w:r>
        <w:rPr>
          <w:rFonts w:ascii="Times New Roman" w:hAnsi="Times New Roman"/>
          <w:spacing w:val="-1"/>
          <w:sz w:val="28"/>
          <w:szCs w:val="28"/>
        </w:rPr>
        <w:t>затраты на приобретение материальных запасов и особо ценного движимого имущества, потребляемых (используемых) в процессе оказания i-ой муниципальной услуги по реализации дополнительных общеразвивающих программ, которые определяются по формуле: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МЗ</m:t>
            </m:r>
          </m:sup>
        </m:sSubSup>
        <m:r>
          <w:rPr>
            <w:rFonts w:ascii="Cambria Math" w:hAnsi="Cambria Math"/>
          </w:rPr>
          <m:t xml:space="preserve">=</m:t>
        </m:r>
        <m:f>
          <m:fPr>
            <m:type m:val="lin"/>
          </m:fPr>
          <m:num>
            <m:f>
              <m:fPr>
                <m:type m:val="lin"/>
              </m:fPr>
              <m:num>
                <m:f>
                  <m:fPr>
                    <m:type m:val="lin"/>
                  </m:fPr>
                  <m:num>
                    <m:sSub>
                      <m:e>
                        <m:r>
                          <w:rPr>
                            <w:rFonts w:ascii="Cambria Math" w:hAnsi="Cambria Math"/>
                          </w:rPr>
                          <m:t xml:space="preserve"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баз</m:t>
                        </m:r>
                      </m:sub>
                    </m:sSub>
                  </m:num>
                  <m:den>
                    <m:sSubSup>
                      <m:e>
                        <m:r>
                          <w:rPr>
                            <w:rFonts w:ascii="Cambria Math" w:hAnsi="Cambria Math"/>
                          </w:rPr>
                          <m:t xml:space="preserve"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баз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 xml:space="preserve">МЗ</m:t>
                        </m:r>
                      </m:sup>
                    </m:sSubSup>
                  </m:den>
                </m:f>
              </m:num>
              <m:den>
                <m:sSub>
                  <m:e>
                    <m:r>
                      <w:rPr>
                        <w:rFonts w:ascii="Cambria Math" w:hAnsi="Cambria Math"/>
                      </w:rPr>
                      <m:t xml:space="preserve"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гр</m:t>
                    </m:r>
                  </m:sub>
                </m:sSub>
              </m:den>
            </m:f>
          </m:num>
          <m:den>
            <m:sSub>
              <m:e>
                <m:r>
                  <w:rPr>
                    <w:rFonts w:ascii="Cambria Math" w:hAnsi="Cambria Math"/>
                  </w:rPr>
                  <m:t xml:space="preserve">N</m:t>
                </m:r>
              </m:e>
              <m:sub>
                <m:r>
                  <w:rPr>
                    <w:rFonts w:ascii="Cambria Math" w:hAnsi="Cambria Math"/>
                  </w:rPr>
                  <m:t xml:space="preserve">год</m:t>
                </m:r>
              </m:sub>
            </m:sSub>
          </m:den>
        </m:f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где</m:t>
        </m:r>
      </m:oMath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C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</m:sSub>
      </m:oMath>
      <w:r>
        <w:rPr>
          <w:rFonts w:eastAsia="MS PGothic"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стоимость комплекта средств обучения по одной направленности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значение устанавливается уполномоченным органом</w:t>
      </w:r>
      <w:r>
        <w:rPr>
          <w:rFonts w:cs="Times New Roman" w:ascii="Times New Roman" w:hAnsi="Times New Roman"/>
          <w:spacing w:val="-1"/>
          <w:sz w:val="28"/>
          <w:szCs w:val="28"/>
        </w:rPr>
        <w:t>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D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МЗ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pacing w:val="-1"/>
          <w:sz w:val="28"/>
          <w:szCs w:val="28"/>
        </w:rPr>
        <w:t>срок полезного использования комплекта средств обучения в годах</w:t>
      </w:r>
      <w:r>
        <w:rPr>
          <w:rFonts w:cs="Times New Roman" w:ascii="Times New Roman" w:hAnsi="Times New Roman"/>
          <w:sz w:val="28"/>
          <w:szCs w:val="28"/>
        </w:rPr>
        <w:t>, значение устанавливается уполномоченным органом</w:t>
      </w:r>
      <w:r>
        <w:rPr>
          <w:rFonts w:cs="Times New Roman" w:ascii="Times New Roman" w:hAnsi="Times New Roman"/>
          <w:spacing w:val="-1"/>
          <w:sz w:val="28"/>
          <w:szCs w:val="28"/>
        </w:rPr>
        <w:t>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Q</m:t>
            </m:r>
          </m:e>
          <m:sub>
            <m:r>
              <w:rPr>
                <w:rFonts w:ascii="Cambria Math" w:hAnsi="Cambria Math"/>
              </w:rPr>
              <m:t xml:space="preserve">гр</m:t>
            </m:r>
          </m:sub>
        </m:sSub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средняя наполняемость группы при реализации части образовательной программы, определяется как среднее от установленных минимальной и максимальной наполняемости группы;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год</m:t>
            </m:r>
          </m:sub>
        </m:sSub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норматив использования оборудования и методических пособий в часах на год, </w:t>
      </w:r>
      <w:r>
        <w:rPr>
          <w:rFonts w:cs="Times New Roman" w:ascii="Times New Roman" w:hAnsi="Times New Roman"/>
          <w:sz w:val="28"/>
          <w:szCs w:val="28"/>
        </w:rPr>
        <w:t>значение устанавливается уполномоченным органом;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418" w:leader="none"/>
        </w:tabs>
        <w:spacing w:lineRule="auto" w:line="240" w:before="0" w:after="0"/>
        <w:ind w:left="0" w:firstLine="567"/>
        <w:rPr>
          <w:rFonts w:ascii="Times New Roman" w:hAnsi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</m:oMath>
      <w:r>
        <w:rPr>
          <w:rFonts w:ascii="Times New Roman" w:hAnsi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 xml:space="preserve">– </w:t>
      </w:r>
      <w:r>
        <w:rPr>
          <w:rFonts w:ascii="Times New Roman" w:hAnsi="Times New Roman"/>
          <w:spacing w:val="-1"/>
          <w:sz w:val="28"/>
          <w:szCs w:val="28"/>
        </w:rPr>
        <w:t>затраты на приобретение методических пособий, используемых в процессе оказания i-ой муниципальной услуги по реализации дополнительных общеразвивающих программ, которые определяются по формуле: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  <m:r>
          <w:rPr>
            <w:rFonts w:ascii="Cambria Math" w:hAnsi="Cambria Math"/>
          </w:rPr>
          <m:t xml:space="preserve">=</m:t>
        </m:r>
        <m:f>
          <m:fPr>
            <m:type m:val="lin"/>
          </m:fPr>
          <m:num>
            <m:f>
              <m:fPr>
                <m:type m:val="lin"/>
              </m:fPr>
              <m:num>
                <m:d>
                  <m:dPr>
                    <m:begChr m:val="("/>
                    <m:endChr m:val=")"/>
                  </m:dPr>
                  <m:e>
                    <m:sSubSup>
                      <m:e>
                        <m:r>
                          <w:rPr>
                            <w:rFonts w:ascii="Cambria Math" w:hAnsi="Cambria Math"/>
                          </w:rPr>
                          <m:t xml:space="preserve">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баз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 xml:space="preserve">УЧ</m:t>
                        </m:r>
                      </m:sup>
                    </m:sSubSup>
                    <m:r>
                      <w:rPr>
                        <w:rFonts w:ascii="Cambria Math" w:hAnsi="Cambria Math"/>
                      </w:rPr>
                      <m:t xml:space="preserve">∗</m:t>
                    </m:r>
                    <m:sSubSup>
                      <m:e>
                        <m:r>
                          <w:rPr>
                            <w:rFonts w:ascii="Cambria Math" w:hAnsi="Cambria Math"/>
                          </w:rPr>
                          <m:t xml:space="preserve"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 xml:space="preserve">баз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 xml:space="preserve">УЧ</m:t>
                        </m:r>
                      </m:sup>
                    </m:sSubSup>
                  </m:e>
                </m:d>
              </m:num>
              <m:den>
                <m:sSubSup>
                  <m:e>
                    <m:r>
                      <w:rPr>
                        <w:rFonts w:ascii="Cambria Math" w:hAnsi="Cambria Math"/>
                      </w:rPr>
                      <m:t xml:space="preserve"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УЧ</m:t>
                    </m:r>
                  </m:sup>
                </m:sSubSup>
              </m:den>
            </m:f>
          </m:num>
          <m:den>
            <m:sSub>
              <m:e>
                <m:r>
                  <w:rPr>
                    <w:rFonts w:ascii="Cambria Math" w:hAnsi="Cambria Math"/>
                  </w:rPr>
                  <m:t xml:space="preserve">N</m:t>
                </m:r>
              </m:e>
              <m:sub>
                <m:r>
                  <w:rPr>
                    <w:rFonts w:ascii="Cambria Math" w:hAnsi="Cambria Math"/>
                  </w:rPr>
                  <m:t xml:space="preserve">год</m:t>
                </m:r>
              </m:sub>
            </m:sSub>
          </m:den>
        </m:f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где</m:t>
        </m:r>
      </m:oMath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firstLine="709"/>
        <w:rPr>
          <w:rFonts w:ascii="Times New Roman" w:hAnsi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С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</m:oMath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oftHyphen/>
        <w:t>– стоимость одного экземпляра методических пособий, значение устанавливается уполномоченным органом;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firstLine="709"/>
        <w:rPr>
          <w:rFonts w:ascii="Times New Roman" w:hAnsi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Q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</m:oMath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количество методических пособий на 1 обучающегося, значение устанавливается уполномоченным органом;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D</m:t>
            </m:r>
          </m:e>
          <m:sub>
            <m:r>
              <w:rPr>
                <w:rFonts w:ascii="Cambria Math" w:hAnsi="Cambria Math"/>
              </w:rPr>
              <m:t xml:space="preserve">баз</m:t>
            </m:r>
          </m:sub>
          <m:sup>
            <m:r>
              <w:rPr>
                <w:rFonts w:ascii="Cambria Math" w:hAnsi="Cambria Math"/>
              </w:rPr>
              <m:t xml:space="preserve">УЧ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срок полезного использования </w:t>
      </w:r>
      <w:r>
        <w:rPr>
          <w:rFonts w:cs="Times New Roman" w:ascii="Times New Roman" w:hAnsi="Times New Roman"/>
          <w:sz w:val="28"/>
          <w:szCs w:val="28"/>
        </w:rPr>
        <w:t>методических пособий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в годах</w:t>
      </w:r>
      <w:r>
        <w:rPr>
          <w:rFonts w:cs="Times New Roman" w:ascii="Times New Roman" w:hAnsi="Times New Roman"/>
          <w:sz w:val="28"/>
          <w:szCs w:val="28"/>
        </w:rPr>
        <w:t>, значение устанавливается уполномоченным органом</w:t>
      </w:r>
      <w:r>
        <w:rPr>
          <w:rFonts w:cs="Times New Roman" w:ascii="Times New Roman" w:hAnsi="Times New Roman"/>
          <w:spacing w:val="-1"/>
          <w:sz w:val="28"/>
          <w:szCs w:val="28"/>
        </w:rPr>
        <w:t>.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left="0" w:firstLine="567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  <w:t>Базовый норматив затрат на общехозяйственные нужды на оказание i-ой муниципальной услуги по реализации дополнительных общеразвивающих программ рассчитывается по следующей формуле:</w:t>
      </w:r>
    </w:p>
    <w:p>
      <w:pPr>
        <w:pStyle w:val="Normal"/>
        <w:shd w:val="clear" w:color="auto" w:fill="FFFFFF"/>
        <w:tabs>
          <w:tab w:val="clear" w:pos="708"/>
          <w:tab w:val="left" w:pos="883" w:leader="none"/>
        </w:tabs>
        <w:spacing w:lineRule="auto" w:line="240" w:before="0" w:after="0"/>
        <w:ind w:left="709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общ</m:t>
            </m:r>
          </m:sup>
        </m:sSubSup>
        <m:r>
          <w:rPr>
            <w:rFonts w:ascii="Cambria Math" w:hAnsi="Cambria Math"/>
          </w:rPr>
          <m:t xml:space="preserve">=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СИ</m:t>
            </m:r>
          </m:sup>
        </m:sSubSup>
        <m:r>
          <w:rPr>
            <w:rFonts w:ascii="Cambria Math" w:hAnsi="Cambria Math"/>
          </w:rPr>
          <m:t xml:space="preserve">+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2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где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СИ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MS PGothic" w:cs="Times New Roman" w:ascii="Times New Roman" w:hAnsi="Times New Roman"/>
          <w:bCs/>
          <w:color w:val="000000"/>
          <w:kern w:val="2"/>
          <w:sz w:val="28"/>
          <w:szCs w:val="28"/>
          <w:lang w:bidi="ru-RU"/>
        </w:rPr>
        <w:t>Б</w:t>
      </w:r>
      <w:r>
        <w:rPr>
          <w:rFonts w:cs="Times New Roman" w:ascii="Times New Roman" w:hAnsi="Times New Roman"/>
          <w:bCs/>
          <w:color w:val="000000"/>
          <w:sz w:val="28"/>
          <w:szCs w:val="28"/>
          <w:lang w:bidi="ru-RU"/>
        </w:rPr>
        <w:t xml:space="preserve">азовый норматив затрат на общехозяйственные нужды на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оказание i-ой муниципальной услуги по реализации дополнительных общеразвивающих программ, за исключением затрат на оплату труда и начисления на выплаты по </w:t>
      </w:r>
      <w:r>
        <w:rPr>
          <w:rFonts w:cs="Times New Roman" w:ascii="Times New Roman" w:hAnsi="Times New Roman"/>
          <w:sz w:val="28"/>
          <w:szCs w:val="28"/>
        </w:rPr>
        <w:t>оплате труда работников организации, которые не принимают непосредственного участия в оказании муниципальной услуги. Значение устанавливается уполномоченным органом</w:t>
      </w:r>
      <w:r>
        <w:rPr>
          <w:rFonts w:cs="Times New Roman" w:ascii="Times New Roman" w:hAnsi="Times New Roman"/>
          <w:spacing w:val="-1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СИ</m:t>
            </m:r>
          </m:sup>
        </m:sSubSup>
        <m:r>
          <w:rPr>
            <w:rFonts w:ascii="Cambria Math" w:hAnsi="Cambria Math"/>
          </w:rPr>
          <m:t xml:space="preserve">=</m:t>
        </m:r>
        <m:f>
          <m:fPr>
            <m:type m:val="lin"/>
          </m:fPr>
          <m:num>
            <m:d>
              <m:dPr>
                <m:begChr m:val="("/>
                <m:endChr m:val=")"/>
              </m:dPr>
              <m:e>
                <m:sSubSup>
                  <m:e>
                    <m:r>
                      <w:rPr>
                        <w:rFonts w:ascii="Cambria Math" w:hAnsi="Cambria Math"/>
                      </w:rPr>
                      <m:t xml:space="preserve"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КУ</m:t>
                    </m:r>
                  </m:sup>
                </m:sSubSup>
                <m:r>
                  <w:rPr>
                    <w:rFonts w:ascii="Cambria Math" w:hAnsi="Cambria Math"/>
                  </w:rPr>
                  <m:t xml:space="preserve">+</m:t>
                </m:r>
                <m:sSubSup>
                  <m:e>
                    <m:r>
                      <w:rPr>
                        <w:rFonts w:ascii="Cambria Math" w:hAnsi="Cambria Math"/>
                      </w:rPr>
                      <m:t xml:space="preserve"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СНИ</m:t>
                    </m:r>
                  </m:sup>
                </m:sSubSup>
                <m:r>
                  <w:rPr>
                    <w:rFonts w:ascii="Cambria Math" w:hAnsi="Cambria Math"/>
                  </w:rPr>
                  <m:t xml:space="preserve">+</m:t>
                </m:r>
                <m:sSubSup>
                  <m:e>
                    <m:r>
                      <w:rPr>
                        <w:rFonts w:ascii="Cambria Math" w:hAnsi="Cambria Math"/>
                      </w:rPr>
                      <m:t xml:space="preserve"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СОЦДИ</m:t>
                    </m:r>
                  </m:sup>
                </m:sSubSup>
                <m:r>
                  <w:rPr>
                    <w:rFonts w:ascii="Cambria Math" w:hAnsi="Cambria Math"/>
                  </w:rPr>
                  <m:t xml:space="preserve">+</m:t>
                </m:r>
                <m:sSubSup>
                  <m:e>
                    <m:r>
                      <w:rPr>
                        <w:rFonts w:ascii="Cambria Math" w:hAnsi="Cambria Math"/>
                      </w:rPr>
                      <m:t xml:space="preserve"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УС</m:t>
                    </m:r>
                  </m:sup>
                </m:sSubSup>
                <m:r>
                  <w:rPr>
                    <w:rFonts w:ascii="Cambria Math" w:hAnsi="Cambria Math"/>
                  </w:rPr>
                  <m:t xml:space="preserve">+</m:t>
                </m:r>
                <m:sSubSup>
                  <m:e>
                    <m:r>
                      <w:rPr>
                        <w:rFonts w:ascii="Cambria Math" w:hAnsi="Cambria Math"/>
                      </w:rPr>
                      <m:t xml:space="preserve"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 xml:space="preserve">iбаз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 xml:space="preserve">ТУ</m:t>
                    </m:r>
                  </m:sup>
                </m:sSubSup>
              </m:e>
            </m:d>
          </m:num>
          <m:den>
            <m:sSub>
              <m:e>
                <m:r>
                  <w:rPr>
                    <w:rFonts w:ascii="Cambria Math" w:hAnsi="Cambria Math"/>
                  </w:rPr>
                  <m:t xml:space="preserve">V</m:t>
                </m:r>
              </m:e>
              <m:sub>
                <m:r>
                  <w:rPr>
                    <w:rFonts w:ascii="Cambria Math" w:hAnsi="Cambria Math"/>
                  </w:rPr>
                  <m:t xml:space="preserve">год</m:t>
                </m:r>
              </m:sub>
            </m:sSub>
          </m:den>
        </m:f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>, где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КУ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Затраты на коммунальные услуги, включая затраты на горячее и холодное водоснабжение водоотведение и очистку сточных вод, электроснабжение, теплоснабжение в соответствии с тарифами на нормы суточного потребления (в соответствии с СНиП 2.04.01-85 для затрат на горячее, холодное водоснабжение и водоотведение);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СНИ</m:t>
            </m:r>
          </m:sup>
        </m:sSubSup>
      </m:oMath>
      <w:r>
        <w:rPr>
          <w:rFonts w:cs="Times New Roman" w:ascii="Times New Roman" w:hAnsi="Times New Roman"/>
          <w:bCs/>
          <w:kern w:val="2"/>
          <w:position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Затраты на содержание объектов недвижимого имущества (в том числе затраты на арендные платежи и уплату налогов), рассчитываются на основе учета нормативной площади прилегающей территории (кв.м). СП 118.13330.2012, нормы обслуживания территории дворником при механизированной уборке (кв.м), СанПин 50% 3,7 га (от земельного участка), нормы убираемой площади (кв.м), Постановление Секретариата ВЦСПС от 21.04.1978 N 13-14, пункт 9 б, стоимости обслуживания и уборки помещений, рублей за кв.м. в месяц (данные ЕМИСС), стоимости вывоза мусора, в месяц, с человека, руб. (данные ЕМИСС) и т.п.;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СОЦДИ</m:t>
            </m:r>
          </m:sup>
        </m:sSubSup>
      </m:oMath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>Затраты на содержание объектов особо ценного движимого имущества, рассчитываются на основе стоимости работ по техническому обслуживанию и регламентно-профилактическому ремонту систем кондиционирования и вентиляции (раз в 10 лет), техническому обслуживанию и регламентно-профилактическому ремонту систем пожарной сигнализации и охранно-тревожной сигнализации, техническому обслуживанию и регламентно-профилактическому ремонту систем видеонаблюдения,  техническому обслуживанию и регламентно-профилактическому ремонту систем канализации, наружного водопровода,  приборов учета (воды, т/энергии, э/энергии) (используя данные ЕМИСС), а также расчетной стоимости обслуживания медицинского оборудования, оборудования столовой в год, расчетной стоимости обслуживания (ремонта) оргтехники в год;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УС</m:t>
            </m:r>
          </m:sup>
        </m:sSubSup>
      </m:oMath>
      <w:r>
        <w:rPr>
          <w:rFonts w:cs="Times New Roman" w:ascii="Times New Roman" w:hAnsi="Times New Roman"/>
          <w:bCs/>
          <w:kern w:val="2"/>
          <w:position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Затраты на приобретение услуг связи, включая услуги телефонной связи (местной и междугородней), услуги интернета, поддержку сайтов, обслуживание системы электронного документооборота, оплату пользования административными программами (1С, Консультант и др.)  и подписку на электронные ресурсы на основе тарифов на телефонную связь и тарифов доступа в Интернет (используя данные ЕМИСС);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ТУ</m:t>
            </m:r>
          </m:sup>
        </m:sSubSup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Затраты на приобретение транспортных услуг, включая в том числе расходы на организацию подвоза обучающихся к месту учебы и проезд педагогических работников до места прохождения повышения квалификации и обратно;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pacing w:val="-1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V</m:t>
            </m:r>
          </m:e>
          <m:sub>
            <m:r>
              <w:rPr>
                <w:rFonts w:ascii="Cambria Math" w:hAnsi="Cambria Math"/>
              </w:rPr>
              <m:t xml:space="preserve">год</m:t>
            </m:r>
          </m:sub>
        </m:sSub>
      </m:oMath>
      <w:r>
        <w:rPr>
          <w:rFonts w:cs="Times New Roman" w:ascii="Times New Roman" w:hAnsi="Times New Roman"/>
          <w:spacing w:val="-1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общий фонд учебного времени в календарном году на образовательную организацию, рассчитываемый как сумма произведений годового объема образовательной программы в часах на количество обучающихся по данной программе;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2</m:t>
            </m:r>
          </m:sup>
        </m:sSubSup>
      </m:oMath>
      <w:r>
        <w:rPr>
          <w:rFonts w:cs="Times New Roman" w:ascii="Times New Roman" w:hAnsi="Times New Roman"/>
          <w:bCs/>
          <w:kern w:val="2"/>
          <w:position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>затраты на оплату труда и начисления на выплаты по оплате труда работников организации, которые не принимают непосредственного участия в оказании муниципальной услуги (административно- управленческого и вспомогательного персонала),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 заболеваний, рассчитываемые по формуле: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  <m:oMath xmlns:m="http://schemas.openxmlformats.org/officeDocument/2006/math"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2</m:t>
            </m:r>
          </m:sup>
        </m:sSubSup>
        <m:r>
          <w:rPr>
            <w:rFonts w:ascii="Cambria Math" w:hAnsi="Cambria Math"/>
          </w:rPr>
          <m:t xml:space="preserve">=</m:t>
        </m:r>
        <m:sSubSup>
          <m:e>
            <m:r>
              <w:rPr>
                <w:rFonts w:ascii="Cambria Math" w:hAnsi="Cambria Math"/>
              </w:rPr>
              <m:t xml:space="preserve">N</m:t>
            </m:r>
          </m:e>
          <m:sub>
            <m:r>
              <w:rPr>
                <w:rFonts w:ascii="Cambria Math" w:hAnsi="Cambria Math"/>
              </w:rPr>
              <m:t xml:space="preserve">iбаз</m:t>
            </m:r>
          </m:sub>
          <m:sup>
            <m:r>
              <w:rPr>
                <w:rFonts w:ascii="Cambria Math" w:hAnsi="Cambria Math"/>
              </w:rPr>
              <m:t xml:space="preserve">ОТ</m:t>
            </m:r>
            <m:r>
              <w:rPr>
                <w:rFonts w:ascii="Cambria Math" w:hAnsi="Cambria Math"/>
              </w:rPr>
              <m:t xml:space="preserve">1</m:t>
            </m:r>
          </m:sup>
        </m:sSubSup>
        <m:r>
          <w:rPr>
            <w:rFonts w:ascii="Cambria Math" w:hAnsi="Cambria Math"/>
          </w:rPr>
          <m:t xml:space="preserve">∗</m:t>
        </m:r>
        <m:sSub>
          <m:e>
            <m:r>
              <w:rPr>
                <w:rFonts w:ascii="Cambria Math" w:hAnsi="Cambria Math"/>
              </w:rPr>
              <m:t xml:space="preserve">K</m:t>
            </m:r>
          </m:e>
          <m:sub>
            <m:r>
              <w:rPr>
                <w:rFonts w:ascii="Cambria Math" w:hAnsi="Cambria Math"/>
              </w:rPr>
              <m:t xml:space="preserve">АУП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,</m:t>
        </m:r>
        <m:r>
          <w:rPr>
            <w:rFonts w:ascii="Cambria Math" w:hAnsi="Cambria Math"/>
          </w:rPr>
          <m:t xml:space="preserve">где</m:t>
        </m:r>
      </m:oMath>
    </w:p>
    <w:p>
      <w:pPr>
        <w:pStyle w:val="Normal"/>
        <w:widowControl/>
        <w:shd w:val="clear" w:color="auto" w:fill="FFFFFF"/>
        <w:tabs>
          <w:tab w:val="clear" w:pos="708"/>
          <w:tab w:val="left" w:pos="883" w:leader="none"/>
        </w:tabs>
        <w:spacing w:lineRule="auto" w:line="240" w:before="0" w:after="0"/>
        <w:rPr>
          <w:rFonts w:ascii="Times New Roman" w:hAnsi="Times New Roman" w:eastAsia="MS PGothic" w:cs="Times New Roman"/>
          <w:bCs/>
          <w:kern w:val="2"/>
          <w:sz w:val="28"/>
          <w:szCs w:val="28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K</m:t>
            </m:r>
          </m:e>
          <m:sub>
            <m:r>
              <w:rPr>
                <w:rFonts w:ascii="Cambria Math" w:hAnsi="Cambria Math"/>
              </w:rPr>
              <m:t xml:space="preserve">АУП</m:t>
            </m:r>
          </m:sub>
        </m:sSub>
      </m:oMath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" w:ascii="Times New Roman" w:hAnsi="Times New Roman"/>
          <w:sz w:val="28"/>
          <w:szCs w:val="28"/>
        </w:rPr>
        <w:t>коэффициент доли работников АУП к общей численности педагогических работников, значение устанавливается уполномоченным органом.</w:t>
      </w:r>
    </w:p>
    <w:sectPr>
      <w:type w:val="nextPage"/>
      <w:pgSz w:w="11906" w:h="16798"/>
      <w:pgMar w:left="1701" w:right="567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2059" w:hanging="924"/>
      </w:pPr>
      <w:rPr>
        <w:dstrike w:val="false"/>
        <w:strike w:val="false"/>
        <w:b w:val="false"/>
        <w:rFonts w:cs="Times New Roman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5" w:hanging="88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00" w:hanging="2160"/>
      </w:pPr>
      <w:rPr>
        <w:rFonts w:cs="Times New Roman"/>
      </w:rPr>
    </w:lvl>
  </w:abstractNum>
  <w:abstractNum w:abstractNumId="2">
    <w:lvl w:ilvl="0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567" w:firstLine="873"/>
      </w:pPr>
      <w:rPr>
        <w:i w:val="false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1069" w:hanging="360"/>
      </w:pPr>
      <w:rPr>
        <w:rFonts w:eastAsia="MS PGothic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5a4a"/>
    <w:pPr>
      <w:widowControl w:val="false"/>
      <w:bidi w:val="0"/>
      <w:spacing w:lineRule="auto" w:line="240"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2d5a4a"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rsid w:val="002d5a4a"/>
    <w:rPr>
      <w:rFonts w:ascii="Arial" w:hAnsi="Arial" w:eastAsia="Times New Roman" w:cs="Arial"/>
      <w:b/>
      <w:bCs/>
      <w:color w:val="26282F"/>
      <w:sz w:val="24"/>
      <w:szCs w:val="24"/>
      <w:lang w:eastAsia="ru-RU"/>
    </w:rPr>
  </w:style>
  <w:style w:type="character" w:styleId="Style13" w:customStyle="1">
    <w:name w:val="Цветовое выделение"/>
    <w:uiPriority w:val="99"/>
    <w:qFormat/>
    <w:rsid w:val="002d5a4a"/>
    <w:rPr>
      <w:b/>
      <w:color w:val="26282F"/>
    </w:rPr>
  </w:style>
  <w:style w:type="character" w:styleId="Style14" w:customStyle="1">
    <w:name w:val="Гипертекстовая ссылка"/>
    <w:uiPriority w:val="99"/>
    <w:qFormat/>
    <w:rsid w:val="002d5a4a"/>
    <w:rPr>
      <w:rFonts w:cs="Times New Roman"/>
      <w:b w:val="false"/>
      <w:color w:val="106BBE"/>
    </w:rPr>
  </w:style>
  <w:style w:type="character" w:styleId="Style15" w:customStyle="1">
    <w:name w:val="Текст абзаца Знак"/>
    <w:link w:val="a7"/>
    <w:qFormat/>
    <w:rsid w:val="00ab330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Текст выноски Знак"/>
    <w:basedOn w:val="DefaultParagraphFont"/>
    <w:link w:val="ab"/>
    <w:uiPriority w:val="99"/>
    <w:semiHidden/>
    <w:qFormat/>
    <w:rsid w:val="005d57c2"/>
    <w:rPr>
      <w:rFonts w:ascii="Tahoma" w:hAnsi="Tahoma" w:eastAsia="Times New Roman" w:cs="Tahoma"/>
      <w:sz w:val="16"/>
      <w:szCs w:val="16"/>
      <w:lang w:eastAsia="ru-RU"/>
    </w:rPr>
  </w:style>
  <w:style w:type="character" w:styleId="PlaceholderText">
    <w:name w:val="Placeholder Text"/>
    <w:basedOn w:val="DefaultParagraphFont"/>
    <w:uiPriority w:val="99"/>
    <w:semiHidden/>
    <w:qFormat/>
    <w:rsid w:val="00b762ed"/>
    <w:rPr>
      <w:color w:val="80808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a27cd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f0"/>
    <w:uiPriority w:val="99"/>
    <w:semiHidden/>
    <w:qFormat/>
    <w:rsid w:val="000a27cd"/>
    <w:rPr>
      <w:rFonts w:ascii="Arial" w:hAnsi="Arial" w:eastAsia="Times New Roman" w:cs="Arial"/>
      <w:sz w:val="20"/>
      <w:szCs w:val="20"/>
      <w:lang w:eastAsia="ru-RU"/>
    </w:rPr>
  </w:style>
  <w:style w:type="character" w:styleId="Style18" w:customStyle="1">
    <w:name w:val="Тема примечания Знак"/>
    <w:basedOn w:val="Style17"/>
    <w:link w:val="af2"/>
    <w:uiPriority w:val="99"/>
    <w:semiHidden/>
    <w:qFormat/>
    <w:rsid w:val="000a27cd"/>
    <w:rPr>
      <w:rFonts w:ascii="Arial" w:hAnsi="Arial" w:eastAsia="Times New Roman" w:cs="Arial"/>
      <w:b/>
      <w:bCs/>
      <w:sz w:val="20"/>
      <w:szCs w:val="20"/>
      <w:lang w:eastAsia="ru-RU"/>
    </w:rPr>
  </w:style>
  <w:style w:type="character" w:styleId="2" w:customStyle="1">
    <w:name w:val="Основной текст (2)"/>
    <w:basedOn w:val="DefaultParagraphFont"/>
    <w:qFormat/>
    <w:rsid w:val="001b6f3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12pt" w:customStyle="1">
    <w:name w:val="Основной текст (2) + 12 pt;Полужирный"/>
    <w:basedOn w:val="DefaultParagraphFont"/>
    <w:qFormat/>
    <w:rsid w:val="001b6f32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Абзац списка Знак"/>
    <w:link w:val="a9"/>
    <w:qFormat/>
    <w:rsid w:val="005b5664"/>
    <w:rPr>
      <w:rFonts w:ascii="Arial" w:hAnsi="Arial" w:eastAsia="Times New Roman" w:cs="Arial"/>
      <w:sz w:val="24"/>
      <w:szCs w:val="24"/>
      <w:lang w:eastAsia="ru-RU"/>
    </w:rPr>
  </w:style>
  <w:style w:type="character" w:styleId="Style20">
    <w:name w:val="Интернет-ссылка"/>
    <w:basedOn w:val="DefaultParagraphFont"/>
    <w:uiPriority w:val="99"/>
    <w:unhideWhenUsed/>
    <w:rsid w:val="007f4d25"/>
    <w:rPr>
      <w:color w:val="0000FF"/>
      <w:u w:val="single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Mang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Mangal"/>
    </w:rPr>
  </w:style>
  <w:style w:type="paragraph" w:styleId="Style26" w:customStyle="1">
    <w:name w:val="Нормальный (таблица)"/>
    <w:basedOn w:val="Normal"/>
    <w:next w:val="Normal"/>
    <w:uiPriority w:val="99"/>
    <w:qFormat/>
    <w:rsid w:val="002d5a4a"/>
    <w:pPr>
      <w:ind w:hanging="0"/>
    </w:pPr>
    <w:rPr/>
  </w:style>
  <w:style w:type="paragraph" w:styleId="Style27" w:customStyle="1">
    <w:name w:val="Прижатый влево"/>
    <w:basedOn w:val="Normal"/>
    <w:next w:val="Normal"/>
    <w:uiPriority w:val="99"/>
    <w:qFormat/>
    <w:rsid w:val="002d5a4a"/>
    <w:pPr>
      <w:ind w:hanging="0"/>
      <w:jc w:val="left"/>
    </w:pPr>
    <w:rPr/>
  </w:style>
  <w:style w:type="paragraph" w:styleId="Style28" w:customStyle="1">
    <w:name w:val="Текст абзаца"/>
    <w:basedOn w:val="Normal"/>
    <w:link w:val="a8"/>
    <w:qFormat/>
    <w:rsid w:val="00ab3308"/>
    <w:pPr>
      <w:widowControl/>
      <w:ind w:firstLine="709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link w:val="aa"/>
    <w:qFormat/>
    <w:rsid w:val="00007183"/>
    <w:pPr>
      <w:spacing w:before="0" w:after="0"/>
      <w:ind w:left="720" w:firstLine="720"/>
      <w:contextualSpacing/>
    </w:pPr>
    <w:rPr/>
  </w:style>
  <w:style w:type="paragraph" w:styleId="ConsPlusTitle" w:customStyle="1">
    <w:name w:val="ConsPlusTitle"/>
    <w:uiPriority w:val="99"/>
    <w:qFormat/>
    <w:rsid w:val="005248b8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c"/>
    <w:uiPriority w:val="99"/>
    <w:semiHidden/>
    <w:unhideWhenUsed/>
    <w:qFormat/>
    <w:rsid w:val="005d57c2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0a27cd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4"/>
      <w:szCs w:val="24"/>
      <w:lang w:eastAsia="ru-RU" w:val="ru-RU" w:bidi="ar-SA"/>
    </w:rPr>
  </w:style>
  <w:style w:type="paragraph" w:styleId="Annotationtext">
    <w:name w:val="annotation text"/>
    <w:basedOn w:val="Normal"/>
    <w:link w:val="af1"/>
    <w:uiPriority w:val="99"/>
    <w:semiHidden/>
    <w:unhideWhenUsed/>
    <w:qFormat/>
    <w:rsid w:val="000a27c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f3"/>
    <w:uiPriority w:val="99"/>
    <w:semiHidden/>
    <w:unhideWhenUsed/>
    <w:qFormat/>
    <w:rsid w:val="000a27cd"/>
    <w:pPr/>
    <w:rPr>
      <w:b/>
      <w:bCs/>
    </w:rPr>
  </w:style>
  <w:style w:type="paragraph" w:styleId="Standard" w:customStyle="1">
    <w:name w:val="Standard"/>
    <w:qFormat/>
    <w:rsid w:val="007f4d25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eastAsia="zh-CN" w:bidi="hi-IN" w:val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ilinsko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LibreOffice/6.4.1.2$Windows_x86 LibreOffice_project/4d224e95b98b138af42a64d84056446d09082932</Application>
  <Pages>8</Pages>
  <Words>1641</Words>
  <Characters>13202</Characters>
  <CharactersWithSpaces>14906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2022-01-10T11:32:00Z</dcterms:created>
  <dc:creator>Pavel Derkachev</dc:creator>
  <dc:description/>
  <dc:language>ru-RU</dc:language>
  <cp:lastModifiedBy/>
  <cp:lastPrinted>2022-05-13T09:25:00Z</cp:lastPrinted>
  <dcterms:modified xsi:type="dcterms:W3CDTF">2022-07-28T14:49:42Z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