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rFonts w:ascii="Times New Roman" w:hAnsi="Times New Roman"/>
          <w:b/>
        </w:rPr>
        <w:t>АДМИНИСТРАЦИЯ ИЛЬИНСКОГО МУНИЦИПАЛЬНОГО РАЙОНА</w:t>
      </w:r>
    </w:p>
    <w:p>
      <w:pPr>
        <w:pStyle w:val="Normal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ИВАНОВСКОЙ ОБЛАСТИ</w:t>
      </w:r>
    </w:p>
    <w:p>
      <w:pPr>
        <w:pStyle w:val="Normal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36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>
      <w:pPr>
        <w:pStyle w:val="Normal"/>
        <w:jc w:val="center"/>
        <w:rPr>
          <w:rFonts w:ascii="Times New Roman" w:hAnsi="Times New Roman"/>
          <w:b/>
          <w:b/>
          <w:sz w:val="36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от 03.05.2023 года №132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п. Ильинское-Хованское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/>
      </w:pPr>
      <w:r>
        <w:rPr>
          <w:rFonts w:ascii="Times New Roman" w:hAnsi="Times New Roman"/>
          <w:b/>
        </w:rPr>
        <w:t>О внесении изменения в постановление администрации Ильинского муниципального района от 26.12.2022 года № 365 «Об утверждении муниципальной программы «</w:t>
      </w:r>
      <w:r>
        <w:rPr>
          <w:rFonts w:ascii="Times New Roman" w:hAnsi="Times New Roman"/>
          <w:b/>
          <w:spacing w:val="2"/>
        </w:rPr>
        <w:t>Обеспечение населения Ильинского муниципального района объектами инженерной инфраструктуры и услугами жилищно-коммунального хозяйства</w:t>
      </w:r>
      <w:r>
        <w:rPr>
          <w:rFonts w:ascii="Times New Roman" w:hAnsi="Times New Roman"/>
          <w:b/>
        </w:rPr>
        <w:t xml:space="preserve">»» </w:t>
      </w:r>
    </w:p>
    <w:p>
      <w:pPr>
        <w:pStyle w:val="Normal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ConsPlusNormal1"/>
        <w:ind w:left="0" w:right="0" w:firstLine="540"/>
        <w:jc w:val="both"/>
        <w:rPr/>
      </w:pPr>
      <w:r>
        <w:rPr>
          <w:spacing w:val="2"/>
        </w:rPr>
        <w:t xml:space="preserve">Руководствуясь статьей 179 Бюджетного кодекса Российской Федерации, постановлением администрации Ильинского муниципального района от 31.08.2016 года №225 «О порядке разработки, реализации и оценки эффективности муниципальных программ Ильинского муниципального района», постановлением администрации Ильинского муниципального района от 17.11.2014 года №450 «Об утверждении методических указаний по разработке и реализации муниципальных программ Ильинского муниципального района», администрация Ильинского муниципального района </w:t>
      </w:r>
      <w:r>
        <w:rPr>
          <w:b/>
          <w:spacing w:val="2"/>
        </w:rPr>
        <w:t>п о с т а н о в л я е т:</w:t>
      </w:r>
    </w:p>
    <w:p>
      <w:pPr>
        <w:pStyle w:val="Normal"/>
        <w:jc w:val="left"/>
        <w:rPr>
          <w:rFonts w:ascii="Times New Roman" w:hAnsi="Times New Roman"/>
          <w:b/>
          <w:b/>
          <w:spacing w:val="2"/>
          <w:sz w:val="12"/>
        </w:rPr>
      </w:pPr>
      <w:r>
        <w:rPr>
          <w:rFonts w:ascii="Times New Roman" w:hAnsi="Times New Roman"/>
          <w:b/>
          <w:spacing w:val="2"/>
          <w:sz w:val="12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ind w:left="426" w:right="0" w:hanging="0"/>
        <w:rPr/>
      </w:pPr>
      <w:r>
        <w:rPr>
          <w:rFonts w:ascii="Times New Roman" w:hAnsi="Times New Roman"/>
          <w:spacing w:val="2"/>
        </w:rPr>
        <w:t>Внести в постановление администрации Ильинского муниципального района от 26.12.2022 года №365 «Об утверждении муниципальной программы «Обеспечение населения Ильинского муниципального района объектами инженерной инфраструктуры и услугами жилищно-коммунального хозяйства» следующее изменение:</w:t>
      </w:r>
    </w:p>
    <w:p>
      <w:pPr>
        <w:pStyle w:val="Normal"/>
        <w:tabs>
          <w:tab w:val="clear" w:pos="708"/>
          <w:tab w:val="left" w:pos="0" w:leader="none"/>
        </w:tabs>
        <w:ind w:left="426" w:right="0" w:hanging="0"/>
        <w:rPr/>
      </w:pPr>
      <w:r>
        <w:rPr/>
        <w:tab/>
        <w:t>1.1.</w:t>
      </w:r>
      <w:r>
        <w:rPr>
          <w:rFonts w:ascii="Times New Roman" w:hAnsi="Times New Roman"/>
        </w:rPr>
        <w:t>Приложение к постановлению изложить в новой редакции (прилагается).</w:t>
      </w:r>
    </w:p>
    <w:p>
      <w:pPr>
        <w:pStyle w:val="Normal"/>
        <w:tabs>
          <w:tab w:val="clear" w:pos="708"/>
          <w:tab w:val="left" w:pos="0" w:leader="none"/>
        </w:tabs>
        <w:ind w:left="426" w:right="0" w:hanging="0"/>
        <w:rPr>
          <w:rFonts w:ascii="Times New Roman" w:hAnsi="Times New Roman"/>
          <w:spacing w:val="2"/>
        </w:rPr>
      </w:pPr>
      <w:r>
        <w:rPr>
          <w:rFonts w:ascii="Times New Roman" w:hAnsi="Times New Roman"/>
          <w:spacing w:val="2"/>
        </w:rPr>
        <w:t xml:space="preserve">2.Опубликовать (обнародовать) настоящее постановление в официальном сетевом издании — официальном сайте Ильинского муниципального района Ивановской области </w:t>
      </w:r>
      <w:hyperlink r:id="rId2">
        <w:r>
          <w:rPr>
            <w:rFonts w:ascii="Times New Roman" w:hAnsi="Times New Roman"/>
            <w:spacing w:val="2"/>
          </w:rPr>
          <w:t>www.admilinskoe.ru</w:t>
        </w:r>
      </w:hyperlink>
      <w:r>
        <w:rPr>
          <w:rFonts w:ascii="Times New Roman" w:hAnsi="Times New Roman"/>
          <w:spacing w:val="2"/>
        </w:rPr>
        <w:t xml:space="preserve"> в информационно — телекоммуникационной сети «Интернет».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ind w:left="426" w:right="0" w:hanging="0"/>
        <w:rPr>
          <w:rFonts w:ascii="Times New Roman" w:hAnsi="Times New Roman"/>
          <w:spacing w:val="2"/>
        </w:rPr>
      </w:pPr>
      <w:r>
        <w:rPr>
          <w:rFonts w:ascii="Times New Roman" w:hAnsi="Times New Roman"/>
          <w:spacing w:val="2"/>
        </w:rPr>
        <w:t>Настоящее постановление вступает в силу после его официального опубликования (обнародования).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ind w:left="426" w:right="0" w:hanging="0"/>
        <w:rPr>
          <w:rFonts w:ascii="Times New Roman" w:hAnsi="Times New Roman"/>
          <w:spacing w:val="2"/>
        </w:rPr>
      </w:pPr>
      <w:r>
        <w:rPr>
          <w:rFonts w:ascii="Times New Roman" w:hAnsi="Times New Roman"/>
        </w:rPr>
        <w:t>Контроль за выполнением настоящего постановления возложить на заместителя главы администрации, начальника отдела экономики и муниципального хозяйства администрации Ильинского муниципального района.</w:t>
      </w:r>
    </w:p>
    <w:p>
      <w:pPr>
        <w:pStyle w:val="Normal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 xml:space="preserve">Глава Ильинского </w:t>
      </w:r>
    </w:p>
    <w:p>
      <w:pPr>
        <w:pStyle w:val="Normal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</w:rPr>
        <w:t>муниципального района:</w:t>
        <w:tab/>
        <w:tab/>
        <w:t xml:space="preserve">           </w:t>
        <w:tab/>
        <w:tab/>
        <w:tab/>
        <w:t>С.И. Васютинский</w:t>
      </w:r>
      <w:r>
        <w:br w:type="page"/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>Приложение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>к  Постановлению  администрации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>Ильинского муниципального района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>от 03.05.2023 года  №132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>Приложение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>к  Постановлению  администрации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>Ильинского муниципального района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 xml:space="preserve">от 26.12.2022 года  №365 </w:t>
      </w:r>
    </w:p>
    <w:p>
      <w:pPr>
        <w:pStyle w:val="Normal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МУНИЦИПАЛЬНАЯ ПРОГРАММА </w:t>
      </w:r>
    </w:p>
    <w:p>
      <w:pPr>
        <w:pStyle w:val="Normal"/>
        <w:jc w:val="center"/>
        <w:rPr>
          <w:rFonts w:ascii="Times New Roman" w:hAnsi="Times New Roman"/>
          <w:b/>
          <w:b/>
          <w:spacing w:val="2"/>
          <w:sz w:val="24"/>
        </w:rPr>
      </w:pPr>
      <w:r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  <w:spacing w:val="2"/>
          <w:sz w:val="24"/>
        </w:rPr>
        <w:t xml:space="preserve">Обеспечение населения Ильинского муниципального района объектами </w:t>
      </w:r>
    </w:p>
    <w:p>
      <w:pPr>
        <w:pStyle w:val="Normal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pacing w:val="2"/>
          <w:sz w:val="24"/>
        </w:rPr>
        <w:t>инженерной инфраструктуры и услугами жилищно-коммунального хозяйства»</w:t>
      </w:r>
    </w:p>
    <w:p>
      <w:pPr>
        <w:pStyle w:val="Normal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 Паспорт муниципальной программы </w:t>
      </w:r>
    </w:p>
    <w:p>
      <w:pPr>
        <w:pStyle w:val="Normal"/>
        <w:jc w:val="center"/>
        <w:rPr>
          <w:rFonts w:ascii="Times New Roman" w:hAnsi="Times New Roman"/>
          <w:b/>
          <w:b/>
          <w:spacing w:val="2"/>
          <w:sz w:val="24"/>
        </w:rPr>
      </w:pPr>
      <w:r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  <w:spacing w:val="2"/>
          <w:sz w:val="24"/>
        </w:rPr>
        <w:t xml:space="preserve">Обеспечение населения Ильинского муниципального района объектами </w:t>
      </w:r>
    </w:p>
    <w:p>
      <w:pPr>
        <w:pStyle w:val="Normal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pacing w:val="2"/>
          <w:sz w:val="24"/>
        </w:rPr>
        <w:t>инженерной инфраструктуры и услугами жилищно-коммунального хозяйства</w:t>
      </w:r>
      <w:r>
        <w:rPr>
          <w:rFonts w:ascii="Times New Roman" w:hAnsi="Times New Roman"/>
          <w:b/>
          <w:sz w:val="24"/>
        </w:rPr>
        <w:t>»</w:t>
      </w:r>
    </w:p>
    <w:p>
      <w:pPr>
        <w:pStyle w:val="Normal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1</w:t>
      </w:r>
    </w:p>
    <w:tbl>
      <w:tblPr>
        <w:tblStyle w:val="Style_4"/>
        <w:tblW w:w="9497" w:type="dxa"/>
        <w:jc w:val="left"/>
        <w:tblInd w:w="0" w:type="dxa"/>
        <w:tblCellMar>
          <w:top w:w="0" w:type="dxa"/>
          <w:left w:w="88" w:type="dxa"/>
          <w:bottom w:w="0" w:type="dxa"/>
          <w:right w:w="108" w:type="dxa"/>
        </w:tblCellMar>
      </w:tblPr>
      <w:tblGrid>
        <w:gridCol w:w="3271"/>
        <w:gridCol w:w="6225"/>
      </w:tblGrid>
      <w:tr>
        <w:trPr/>
        <w:tc>
          <w:tcPr>
            <w:tcW w:w="3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Наименование программы</w:t>
            </w:r>
          </w:p>
        </w:tc>
        <w:tc>
          <w:tcPr>
            <w:tcW w:w="6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«</w:t>
            </w:r>
            <w:r>
              <w:rPr>
                <w:rFonts w:ascii="Times New Roman" w:hAnsi="Times New Roman"/>
                <w:spacing w:val="2"/>
                <w:sz w:val="24"/>
              </w:rPr>
              <w:t>Обеспечение населения Ильинского муниципального района объектами инженерной инфраструктуры и услугами жилищно-коммунального хозяйства»</w:t>
            </w:r>
          </w:p>
        </w:tc>
      </w:tr>
      <w:tr>
        <w:trPr>
          <w:trHeight w:val="120" w:hRule="atLeast"/>
        </w:trPr>
        <w:tc>
          <w:tcPr>
            <w:tcW w:w="3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Срок реализации программы</w:t>
            </w:r>
          </w:p>
        </w:tc>
        <w:tc>
          <w:tcPr>
            <w:tcW w:w="6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spacing w:val="0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2022-2025 годы</w:t>
            </w:r>
          </w:p>
        </w:tc>
      </w:tr>
      <w:tr>
        <w:trPr/>
        <w:tc>
          <w:tcPr>
            <w:tcW w:w="3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Администратор программы</w:t>
            </w:r>
          </w:p>
        </w:tc>
        <w:tc>
          <w:tcPr>
            <w:tcW w:w="6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Администрация Ильинского муниципального района</w:t>
            </w:r>
          </w:p>
        </w:tc>
      </w:tr>
      <w:tr>
        <w:trPr/>
        <w:tc>
          <w:tcPr>
            <w:tcW w:w="3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Исполнители Программы</w:t>
            </w:r>
          </w:p>
        </w:tc>
        <w:tc>
          <w:tcPr>
            <w:tcW w:w="6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Администрация Ильинского муниципального района;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/>
            </w:pPr>
            <w:r>
              <w:rPr>
                <w:rFonts w:ascii="Times New Roman" w:hAnsi="Times New Roman"/>
                <w:spacing w:val="6"/>
                <w:sz w:val="24"/>
              </w:rPr>
              <w:t>МУП «РМПО ЖКХ Ильинского муниципального района»</w:t>
            </w:r>
          </w:p>
        </w:tc>
      </w:tr>
      <w:tr>
        <w:trPr/>
        <w:tc>
          <w:tcPr>
            <w:tcW w:w="3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b/>
                <w:b/>
                <w:sz w:val="24"/>
              </w:rPr>
            </w:pPr>
            <w:r>
              <w:rPr>
                <w:b/>
                <w:spacing w:val="0"/>
                <w:sz w:val="24"/>
              </w:rPr>
              <w:t>Перечень подпрограмм</w:t>
            </w:r>
          </w:p>
        </w:tc>
        <w:tc>
          <w:tcPr>
            <w:tcW w:w="6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0" w:right="0" w:hanging="0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Содержание муниципального жилищного фонда Ильинского муниципального района.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0" w:right="0" w:hanging="0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>Создание условий для обеспечения населения Ильинского муниципального района услугами холодного водоснабжения, водоотведения</w:t>
            </w:r>
            <w:r>
              <w:rPr>
                <w:rFonts w:ascii="Times New Roman" w:hAnsi="Times New Roman"/>
                <w:spacing w:val="-2"/>
                <w:sz w:val="24"/>
              </w:rPr>
              <w:t>.</w:t>
            </w:r>
          </w:p>
        </w:tc>
      </w:tr>
      <w:tr>
        <w:trPr/>
        <w:tc>
          <w:tcPr>
            <w:tcW w:w="3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Цели Программы</w:t>
            </w:r>
          </w:p>
        </w:tc>
        <w:tc>
          <w:tcPr>
            <w:tcW w:w="6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Tekstob1"/>
              <w:widowControl w:val="false"/>
              <w:spacing w:lineRule="auto" w:line="240" w:before="0" w:after="0"/>
              <w:ind w:left="0" w:right="0" w:hanging="0"/>
              <w:jc w:val="both"/>
              <w:rPr>
                <w:spacing w:val="0"/>
              </w:rPr>
            </w:pPr>
            <w:r>
              <w:rPr>
                <w:spacing w:val="0"/>
              </w:rPr>
              <w:t>- улучшение обеспечения качественной питьевой водой и подача ее населению;</w:t>
            </w:r>
          </w:p>
          <w:p>
            <w:pPr>
              <w:pStyle w:val="Tekstob1"/>
              <w:widowControl w:val="false"/>
              <w:spacing w:lineRule="auto" w:line="240" w:before="0" w:after="0"/>
              <w:ind w:left="0" w:right="0" w:hanging="0"/>
              <w:jc w:val="both"/>
              <w:rPr>
                <w:spacing w:val="0"/>
              </w:rPr>
            </w:pPr>
            <w:r>
              <w:rPr>
                <w:spacing w:val="0"/>
              </w:rPr>
              <w:t>- обеспечение соответствия требуемым показателям качества и гарантий экологической безопасности производства очистки сточных вод в системах канализации на территории сельских поселений;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right="0" w:hanging="0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- создание нормальных условий для эксплуатации и сохранности жилищного фонда;</w:t>
            </w:r>
          </w:p>
          <w:p>
            <w:pPr>
              <w:pStyle w:val="Tekstob1"/>
              <w:widowControl w:val="false"/>
              <w:spacing w:lineRule="auto" w:line="240" w:before="0" w:after="0"/>
              <w:ind w:left="0" w:right="0" w:hanging="0"/>
              <w:jc w:val="both"/>
              <w:rPr>
                <w:spacing w:val="0"/>
              </w:rPr>
            </w:pPr>
            <w:r>
              <w:rPr>
                <w:spacing w:val="0"/>
              </w:rPr>
              <w:t>- совершенствование и повышение качества предоставляемых коммунальных услуг в целях улучшения жилищно-бытовых условий населения;</w:t>
            </w:r>
          </w:p>
        </w:tc>
      </w:tr>
      <w:tr>
        <w:trPr/>
        <w:tc>
          <w:tcPr>
            <w:tcW w:w="3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Целевые индикаторы и ожидаемые результаты программы</w:t>
            </w:r>
          </w:p>
        </w:tc>
        <w:tc>
          <w:tcPr>
            <w:tcW w:w="6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- оплата коммунальных услуг пустующих муниципальных квартир;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- взносы в фонд регионального оператора Ивановской области на капитальный ремонт муниципального жилищного фонда в многоквартирных домах;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- ремонт и содержание муниципального жилищного фонда;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- удельный вес проб воды, отбор которых произведен из водопроводной сети и которые не отвечают гигиеническим нормативам по санитарно-химическим показателям;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- доля уличной водопроводной сети, нуждающейся в замене;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- доля уличной канализационной сети, нуждающейся в замене;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- число аварий в системах водоснабжения, водоотведения и очистки сточных вод;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- обеспеченность населения централизованными услугами водоснабжения;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- обеспеченность населения централизованными услугами водоотведения;</w:t>
            </w:r>
          </w:p>
        </w:tc>
      </w:tr>
      <w:tr>
        <w:trPr>
          <w:trHeight w:val="8114" w:hRule="atLeast"/>
        </w:trPr>
        <w:tc>
          <w:tcPr>
            <w:tcW w:w="3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Задачи программы</w:t>
            </w:r>
          </w:p>
        </w:tc>
        <w:tc>
          <w:tcPr>
            <w:tcW w:w="6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Formattext1"/>
              <w:widowControl w:val="false"/>
              <w:spacing w:lineRule="auto" w:line="240" w:before="0" w:after="0"/>
              <w:ind w:left="0" w:right="0" w:hanging="0"/>
              <w:jc w:val="both"/>
              <w:rPr>
                <w:spacing w:val="2"/>
              </w:rPr>
            </w:pPr>
            <w:r>
              <w:rPr>
                <w:spacing w:val="2"/>
              </w:rPr>
              <w:t>- сохранение имеющегося потенциала мощности систем водоснабжения и водоотведения за счет проведения необходимых объемов реконструкции, технического перевооружения;</w:t>
            </w:r>
          </w:p>
          <w:p>
            <w:pPr>
              <w:pStyle w:val="Formattext1"/>
              <w:widowControl w:val="false"/>
              <w:spacing w:lineRule="auto" w:line="240" w:before="0" w:after="0"/>
              <w:ind w:left="0" w:right="0" w:hanging="0"/>
              <w:jc w:val="both"/>
              <w:rPr>
                <w:spacing w:val="2"/>
              </w:rPr>
            </w:pPr>
            <w:r>
              <w:rPr>
                <w:spacing w:val="2"/>
              </w:rPr>
              <w:t>- развитие и совершенствование систем централизованного хозяйственно-питьевого водоснабжения и водоотведения;</w:t>
            </w:r>
          </w:p>
          <w:p>
            <w:pPr>
              <w:pStyle w:val="Formattext1"/>
              <w:widowControl w:val="false"/>
              <w:spacing w:lineRule="auto" w:line="240" w:before="0" w:after="0"/>
              <w:ind w:left="0" w:right="0" w:hanging="0"/>
              <w:jc w:val="both"/>
              <w:rPr>
                <w:spacing w:val="2"/>
              </w:rPr>
            </w:pPr>
            <w:r>
              <w:rPr>
                <w:spacing w:val="2"/>
              </w:rPr>
              <w:t>- обеспечение качества питьевой воды, подаваемой населению, путем внедрения средств очистки;</w:t>
            </w:r>
          </w:p>
          <w:p>
            <w:pPr>
              <w:pStyle w:val="Formattext1"/>
              <w:widowControl w:val="false"/>
              <w:spacing w:lineRule="auto" w:line="240" w:before="0" w:after="0"/>
              <w:ind w:left="0" w:right="0" w:hanging="0"/>
              <w:jc w:val="both"/>
              <w:rPr>
                <w:spacing w:val="2"/>
              </w:rPr>
            </w:pPr>
            <w:r>
              <w:rPr>
                <w:spacing w:val="2"/>
              </w:rPr>
              <w:t>- предотвращение загрязнения и истощения источников питьевого водоснабжения за счет ликвидации непригодных к дальнейшей эксплуатации скважин, восстановления зон санитарной охраны на действующих водозаборах;</w:t>
            </w:r>
          </w:p>
          <w:p>
            <w:pPr>
              <w:pStyle w:val="Formattext1"/>
              <w:widowControl w:val="false"/>
              <w:spacing w:lineRule="auto" w:line="240" w:before="0" w:after="0"/>
              <w:ind w:left="0" w:right="0" w:hanging="0"/>
              <w:jc w:val="both"/>
              <w:rPr>
                <w:spacing w:val="2"/>
              </w:rPr>
            </w:pPr>
            <w:r>
              <w:rPr>
                <w:spacing w:val="2"/>
              </w:rPr>
              <w:t>- повышение эффективности и надежности функционирования систем водообеспечения за счет реализации водоохранных, технических и санитарных мероприятий;</w:t>
            </w:r>
          </w:p>
          <w:p>
            <w:pPr>
              <w:pStyle w:val="Formattext1"/>
              <w:widowControl w:val="false"/>
              <w:spacing w:lineRule="atLeast" w:line="263" w:before="0" w:after="0"/>
              <w:ind w:left="0" w:right="0" w:hanging="0"/>
              <w:jc w:val="both"/>
              <w:rPr>
                <w:spacing w:val="2"/>
              </w:rPr>
            </w:pPr>
            <w:r>
              <w:rPr>
                <w:rFonts w:ascii="Arial" w:hAnsi="Arial"/>
                <w:spacing w:val="2"/>
              </w:rPr>
              <w:t xml:space="preserve">- </w:t>
            </w:r>
            <w:r>
              <w:rPr>
                <w:spacing w:val="2"/>
              </w:rPr>
              <w:t>создание комфортных и безопасных условий проживания граждан в многоквартирных домах;</w:t>
            </w:r>
          </w:p>
          <w:p>
            <w:pPr>
              <w:pStyle w:val="Formattext1"/>
              <w:widowControl w:val="false"/>
              <w:spacing w:lineRule="atLeast" w:line="263" w:before="0" w:after="0"/>
              <w:ind w:left="0" w:right="0" w:hanging="0"/>
              <w:jc w:val="both"/>
              <w:rPr>
                <w:spacing w:val="2"/>
              </w:rPr>
            </w:pPr>
            <w:r>
              <w:rPr>
                <w:spacing w:val="2"/>
              </w:rPr>
              <w:t>- реализация механизма работ по капитальному ремонту многоквартирных домов, проводимому с привлечением средств собственников помещений в многоквартирном доме;</w:t>
            </w:r>
          </w:p>
          <w:p>
            <w:pPr>
              <w:pStyle w:val="Formattext1"/>
              <w:widowControl w:val="false"/>
              <w:spacing w:lineRule="atLeast" w:line="263" w:before="0" w:after="0"/>
              <w:ind w:left="0" w:right="0" w:hanging="0"/>
              <w:jc w:val="both"/>
              <w:rPr>
                <w:spacing w:val="2"/>
              </w:rPr>
            </w:pPr>
            <w:r>
              <w:rPr>
                <w:spacing w:val="2"/>
              </w:rPr>
              <w:t>- обеспечение выполнения работ по капитальному ремонту общего имущества многоквартирных домов;</w:t>
            </w:r>
          </w:p>
          <w:p>
            <w:pPr>
              <w:pStyle w:val="Formattext1"/>
              <w:widowControl w:val="false"/>
              <w:spacing w:lineRule="atLeast" w:line="263" w:before="0" w:after="0"/>
              <w:ind w:left="0" w:right="0" w:hanging="0"/>
              <w:jc w:val="both"/>
              <w:rPr>
                <w:spacing w:val="2"/>
              </w:rPr>
            </w:pPr>
            <w:r>
              <w:rPr>
                <w:spacing w:val="2"/>
              </w:rPr>
              <w:t>- оперативное реагирование на аварийные ситуации в сфере ЖКХ.</w:t>
            </w:r>
          </w:p>
        </w:tc>
      </w:tr>
      <w:tr>
        <w:trPr/>
        <w:tc>
          <w:tcPr>
            <w:tcW w:w="3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0"/>
                <w:sz w:val="24"/>
              </w:rPr>
              <w:t>Объем бюджетных ассигнований на реализацию  программы (по годам реализации)</w:t>
            </w:r>
          </w:p>
        </w:tc>
        <w:tc>
          <w:tcPr>
            <w:tcW w:w="6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sz w:val="24"/>
              </w:rPr>
              <w:t>Общая сумма расходов на реализацию подпрограммы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pacing w:val="0"/>
              </w:rPr>
            </w:pPr>
            <w:r>
              <w:rPr>
                <w:spacing w:val="0"/>
                <w:sz w:val="24"/>
              </w:rPr>
              <w:t xml:space="preserve">на 2022 – 2025 годы: </w:t>
            </w:r>
            <w:r>
              <w:rPr>
                <w:b/>
                <w:spacing w:val="0"/>
                <w:sz w:val="24"/>
              </w:rPr>
              <w:t>17259,98168 тыс. руб</w:t>
            </w:r>
            <w:r>
              <w:rPr>
                <w:spacing w:val="0"/>
                <w:sz w:val="24"/>
              </w:rPr>
              <w:t>.,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sz w:val="24"/>
              </w:rPr>
              <w:t>в том числе: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pacing w:val="0"/>
              </w:rPr>
            </w:pPr>
            <w:r>
              <w:rPr>
                <w:spacing w:val="0"/>
                <w:sz w:val="24"/>
              </w:rPr>
              <w:t xml:space="preserve">2022 год </w:t>
            </w:r>
            <w:r>
              <w:rPr>
                <w:b/>
                <w:spacing w:val="0"/>
                <w:sz w:val="24"/>
              </w:rPr>
              <w:t>– 3665,48168 тыс.руб., в т.ч.: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pacing w:val="0"/>
              </w:rPr>
            </w:pPr>
            <w:r>
              <w:rPr>
                <w:spacing w:val="0"/>
                <w:sz w:val="24"/>
              </w:rPr>
              <w:t>Обл. Бюджет — 200,0 тыс. руб.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b w:val="false"/>
              </w:rPr>
            </w:pPr>
            <w:r>
              <w:rPr>
                <w:spacing w:val="0"/>
                <w:sz w:val="24"/>
              </w:rPr>
              <w:t>Мест. Бюджет — 3465,48168 тыс. руб.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color w:val="000000"/>
              </w:rPr>
            </w:pPr>
            <w:r>
              <w:rPr>
                <w:spacing w:val="0"/>
                <w:sz w:val="24"/>
              </w:rPr>
              <w:t xml:space="preserve">2023 год </w:t>
            </w:r>
            <w:r>
              <w:rPr>
                <w:b/>
                <w:spacing w:val="0"/>
                <w:sz w:val="24"/>
              </w:rPr>
              <w:t>–</w:t>
            </w:r>
            <w:r>
              <w:rPr>
                <w:b/>
                <w:color w:val="000000"/>
                <w:spacing w:val="0"/>
                <w:sz w:val="24"/>
              </w:rPr>
              <w:t>7834,5</w:t>
            </w:r>
            <w:r>
              <w:rPr>
                <w:b/>
                <w:color w:val="FB290D"/>
                <w:spacing w:val="0"/>
                <w:sz w:val="24"/>
              </w:rPr>
              <w:t xml:space="preserve"> </w:t>
            </w:r>
            <w:r>
              <w:rPr>
                <w:b/>
                <w:color w:val="000000"/>
                <w:spacing w:val="0"/>
                <w:sz w:val="24"/>
              </w:rPr>
              <w:t>тыс.руб., в т.ч.: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b w:val="false"/>
              </w:rPr>
            </w:pPr>
            <w:r>
              <w:rPr>
                <w:color w:val="000000"/>
                <w:spacing w:val="0"/>
                <w:sz w:val="24"/>
              </w:rPr>
              <w:t xml:space="preserve">Обл. Бюджет —  </w:t>
            </w:r>
            <w:r>
              <w:rPr>
                <w:b w:val="false"/>
                <w:color w:val="000000"/>
                <w:spacing w:val="0"/>
                <w:sz w:val="24"/>
              </w:rPr>
              <w:t>4706,775</w:t>
            </w:r>
            <w:r>
              <w:rPr>
                <w:color w:val="000000"/>
                <w:spacing w:val="0"/>
                <w:sz w:val="24"/>
              </w:rPr>
              <w:t xml:space="preserve"> тыс. руб.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</w:rPr>
            </w:pPr>
            <w:r>
              <w:rPr>
                <w:color w:val="000000"/>
                <w:spacing w:val="0"/>
                <w:sz w:val="24"/>
              </w:rPr>
              <w:t>Мест. Бюджет — 3127</w:t>
            </w:r>
            <w:r>
              <w:rPr>
                <w:b w:val="false"/>
                <w:color w:val="000000"/>
                <w:spacing w:val="0"/>
                <w:sz w:val="24"/>
              </w:rPr>
              <w:t>,725</w:t>
            </w:r>
            <w:r>
              <w:rPr>
                <w:color w:val="000000"/>
                <w:spacing w:val="0"/>
                <w:sz w:val="24"/>
              </w:rPr>
              <w:t xml:space="preserve"> тыс. ру</w:t>
            </w:r>
            <w:r>
              <w:rPr>
                <w:spacing w:val="0"/>
                <w:sz w:val="24"/>
              </w:rPr>
              <w:t>б.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pacing w:val="0"/>
              </w:rPr>
            </w:pPr>
            <w:r>
              <w:rPr>
                <w:spacing w:val="0"/>
                <w:sz w:val="24"/>
              </w:rPr>
              <w:t>2024 год</w:t>
            </w:r>
            <w:r>
              <w:rPr>
                <w:b/>
                <w:spacing w:val="0"/>
                <w:sz w:val="24"/>
              </w:rPr>
              <w:t xml:space="preserve"> — 2880,0 тыс. руб. 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b w:val="false"/>
              </w:rPr>
            </w:pPr>
            <w:r>
              <w:rPr>
                <w:b w:val="false"/>
                <w:spacing w:val="0"/>
                <w:sz w:val="24"/>
              </w:rPr>
              <w:t xml:space="preserve">2025 год – </w:t>
            </w:r>
            <w:r>
              <w:rPr>
                <w:b/>
                <w:spacing w:val="0"/>
                <w:sz w:val="24"/>
              </w:rPr>
              <w:t>2880,0 тыс. руб.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pacing w:val="0"/>
              </w:rPr>
            </w:pPr>
            <w:r>
              <w:rPr>
                <w:spacing w:val="0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/>
          <w:b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t>2. Анализ текущей ситуации в сфере реализации муниципальной программы</w:t>
      </w:r>
    </w:p>
    <w:p>
      <w:pPr>
        <w:pStyle w:val="Normal"/>
        <w:ind w:left="59" w:right="0" w:hanging="0"/>
        <w:jc w:val="center"/>
        <w:rPr>
          <w:rFonts w:ascii="Times New Roman" w:hAnsi="Times New Roman"/>
          <w:b/>
          <w:b/>
          <w:spacing w:val="-2"/>
          <w:sz w:val="24"/>
        </w:rPr>
      </w:pPr>
      <w:r>
        <w:rPr>
          <w:rFonts w:ascii="Times New Roman" w:hAnsi="Times New Roman"/>
          <w:b/>
          <w:spacing w:val="-2"/>
          <w:sz w:val="24"/>
        </w:rPr>
      </w:r>
    </w:p>
    <w:p>
      <w:pPr>
        <w:pStyle w:val="Normal"/>
        <w:ind w:left="59" w:right="0" w:hanging="0"/>
        <w:jc w:val="center"/>
        <w:rPr>
          <w:rFonts w:ascii="Times New Roman" w:hAnsi="Times New Roman"/>
          <w:b/>
          <w:b/>
          <w:spacing w:val="-2"/>
          <w:sz w:val="24"/>
        </w:rPr>
      </w:pPr>
      <w:r>
        <w:rPr>
          <w:rFonts w:ascii="Times New Roman" w:hAnsi="Times New Roman"/>
          <w:b/>
          <w:spacing w:val="-2"/>
          <w:sz w:val="24"/>
        </w:rPr>
      </w:r>
    </w:p>
    <w:p>
      <w:pPr>
        <w:pStyle w:val="Normal"/>
        <w:ind w:left="59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2.1. Содержание муниципального жилищного фонда Ильинского муниципального района</w:t>
      </w:r>
    </w:p>
    <w:p>
      <w:pPr>
        <w:pStyle w:val="Normal"/>
        <w:ind w:left="59" w:right="0" w:hanging="0"/>
        <w:jc w:val="center"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spacing w:val="-2"/>
          <w:sz w:val="24"/>
        </w:rPr>
      </w:r>
    </w:p>
    <w:p>
      <w:pPr>
        <w:pStyle w:val="Normal"/>
        <w:spacing w:lineRule="atLeast" w:line="263"/>
        <w:rPr>
          <w:rFonts w:ascii="Times New Roman" w:hAnsi="Times New Roman"/>
          <w:spacing w:val="2"/>
          <w:sz w:val="24"/>
        </w:rPr>
      </w:pPr>
      <w:r>
        <w:rPr>
          <w:rFonts w:ascii="Times New Roman" w:hAnsi="Times New Roman"/>
          <w:spacing w:val="2"/>
          <w:sz w:val="24"/>
        </w:rPr>
        <w:tab/>
        <w:t>На территории сельских поселений Ильинского муниципального района расположено 96 дома (квартиры), находящихся в муниципальной собственности. Общая площадь жилищного фонда по состоянию на 01.01.2020 года составляет 4428,5 кв.м. Жилищный фонд Ильинского муниципального района имеет срок эксплуатации более 25 лет.</w:t>
      </w:r>
    </w:p>
    <w:p>
      <w:pPr>
        <w:pStyle w:val="Normal"/>
        <w:spacing w:lineRule="atLeast" w:line="263"/>
        <w:rPr>
          <w:rFonts w:ascii="Times New Roman" w:hAnsi="Times New Roman"/>
          <w:color w:val="2D2D2D"/>
          <w:spacing w:val="2"/>
          <w:sz w:val="24"/>
        </w:rPr>
      </w:pPr>
      <w:r>
        <w:rPr>
          <w:rFonts w:ascii="Times New Roman" w:hAnsi="Times New Roman"/>
          <w:color w:val="2D2D2D"/>
          <w:spacing w:val="2"/>
          <w:sz w:val="24"/>
        </w:rPr>
        <w:tab/>
        <w:t>Помимо многолетней эксплуатации жилищного фонда причинами неудовлетворительного состояния является ненадлежащее содержание жилищного фонда на протяжении ряда лет.</w:t>
      </w:r>
    </w:p>
    <w:p>
      <w:pPr>
        <w:pStyle w:val="Normal"/>
        <w:spacing w:lineRule="atLeast" w:line="263"/>
        <w:rPr>
          <w:rFonts w:ascii="Times New Roman" w:hAnsi="Times New Roman"/>
          <w:color w:val="2D2D2D"/>
          <w:spacing w:val="2"/>
          <w:sz w:val="24"/>
        </w:rPr>
      </w:pPr>
      <w:r>
        <w:rPr>
          <w:rFonts w:ascii="Times New Roman" w:hAnsi="Times New Roman"/>
          <w:color w:val="2D2D2D"/>
          <w:spacing w:val="2"/>
          <w:sz w:val="24"/>
        </w:rPr>
        <w:tab/>
        <w:t>В настоящее время состояние муниципального жилищного фонда характеризуется как удовлетворительное.</w:t>
      </w:r>
    </w:p>
    <w:p>
      <w:pPr>
        <w:pStyle w:val="Normal"/>
        <w:rPr>
          <w:rFonts w:ascii="Times New Roman" w:hAnsi="Times New Roman"/>
          <w:color w:val="2D2D2D"/>
          <w:spacing w:val="2"/>
          <w:sz w:val="24"/>
        </w:rPr>
      </w:pPr>
      <w:r>
        <w:rPr>
          <w:rFonts w:ascii="Times New Roman" w:hAnsi="Times New Roman"/>
          <w:color w:val="2D2D2D"/>
          <w:spacing w:val="2"/>
          <w:sz w:val="24"/>
        </w:rPr>
        <w:tab/>
        <w:t>Оптимальным способом организации работы по приведению в нормативное состояние инженерных сетей, строительных конструкций и элементов многоквартирных домов является реализация программы по содержанию и обслуживанию жилого фонда.</w:t>
      </w:r>
    </w:p>
    <w:p>
      <w:pPr>
        <w:pStyle w:val="Normal"/>
        <w:jc w:val="center"/>
        <w:rPr>
          <w:rFonts w:ascii="Times New Roman" w:hAnsi="Times New Roman"/>
          <w:color w:val="2D2D2D"/>
          <w:spacing w:val="2"/>
          <w:sz w:val="24"/>
        </w:rPr>
      </w:pPr>
      <w:r>
        <w:rPr>
          <w:rFonts w:ascii="Times New Roman" w:hAnsi="Times New Roman"/>
          <w:color w:val="2D2D2D"/>
          <w:spacing w:val="2"/>
          <w:sz w:val="24"/>
        </w:rPr>
      </w:r>
    </w:p>
    <w:p>
      <w:pPr>
        <w:pStyle w:val="Normal"/>
        <w:jc w:val="center"/>
        <w:rPr>
          <w:rFonts w:ascii="Times New Roman" w:hAnsi="Times New Roman"/>
          <w:color w:val="2D2D2D"/>
          <w:spacing w:val="2"/>
          <w:sz w:val="24"/>
        </w:rPr>
      </w:pPr>
      <w:r>
        <w:rPr>
          <w:rFonts w:ascii="Times New Roman" w:hAnsi="Times New Roman"/>
          <w:color w:val="2D2D2D"/>
          <w:spacing w:val="2"/>
          <w:sz w:val="24"/>
        </w:rPr>
      </w:r>
    </w:p>
    <w:p>
      <w:pPr>
        <w:pStyle w:val="Normal"/>
        <w:ind w:left="6" w:right="0" w:hanging="0"/>
        <w:jc w:val="center"/>
        <w:rPr>
          <w:rFonts w:ascii="Times New Roman" w:hAnsi="Times New Roman"/>
          <w:b/>
          <w:b/>
          <w:spacing w:val="2"/>
          <w:sz w:val="24"/>
        </w:rPr>
      </w:pPr>
      <w:r>
        <w:rPr>
          <w:rFonts w:ascii="Times New Roman" w:hAnsi="Times New Roman"/>
          <w:b/>
          <w:spacing w:val="2"/>
          <w:sz w:val="24"/>
        </w:rPr>
        <w:t xml:space="preserve">2.2. Создание условий для обеспечения населения Ильинского муниципального </w:t>
      </w:r>
    </w:p>
    <w:p>
      <w:pPr>
        <w:pStyle w:val="Normal"/>
        <w:ind w:left="6" w:right="0" w:hanging="0"/>
        <w:jc w:val="center"/>
        <w:rPr>
          <w:rFonts w:ascii="Times New Roman" w:hAnsi="Times New Roman"/>
          <w:b/>
          <w:b/>
          <w:spacing w:val="-2"/>
          <w:sz w:val="24"/>
        </w:rPr>
      </w:pPr>
      <w:r>
        <w:rPr>
          <w:rFonts w:ascii="Times New Roman" w:hAnsi="Times New Roman"/>
          <w:b/>
          <w:spacing w:val="2"/>
          <w:sz w:val="24"/>
        </w:rPr>
        <w:t>района услугами холодного водоснабжения и водоотведения</w:t>
      </w:r>
    </w:p>
    <w:p>
      <w:pPr>
        <w:pStyle w:val="Normal"/>
        <w:jc w:val="center"/>
        <w:rPr>
          <w:rFonts w:ascii="Times New Roman" w:hAnsi="Times New Roman"/>
          <w:color w:val="2D2D2D"/>
          <w:spacing w:val="2"/>
          <w:sz w:val="24"/>
        </w:rPr>
      </w:pPr>
      <w:r>
        <w:rPr>
          <w:rFonts w:ascii="Times New Roman" w:hAnsi="Times New Roman"/>
          <w:color w:val="2D2D2D"/>
          <w:spacing w:val="2"/>
          <w:sz w:val="24"/>
        </w:rPr>
      </w:r>
    </w:p>
    <w:p>
      <w:pPr>
        <w:pStyle w:val="Normal"/>
        <w:ind w:left="0" w:right="0"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Ильинский муниципальный район обеспечен запасами подземных вод в необходи</w:t>
      </w:r>
      <w:r>
        <w:rPr>
          <w:rFonts w:ascii="Times New Roman" w:hAnsi="Times New Roman"/>
          <w:sz w:val="24"/>
        </w:rPr>
        <w:t xml:space="preserve">мом количестве, но в настоящее время большинство сооружений водопровода не в состоянии обеспечить бесперебойную подачу воды и требуемый уровень ее качества. </w:t>
      </w:r>
    </w:p>
    <w:p>
      <w:pPr>
        <w:pStyle w:val="Normal"/>
        <w:ind w:left="0" w:right="0"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 все время эксплуатации водопроводных сетей, производился в основном текущий ремонт и частичная замена ветхих водопроводных линий, их износ в настоящее время составил более 90%. Напорные трубы скважин, обеспечивающих подъем и подачу воды в водопроводные сети, на сегодняшний день требуют замены. </w:t>
      </w:r>
    </w:p>
    <w:p>
      <w:pPr>
        <w:pStyle w:val="Normal"/>
        <w:ind w:left="0" w:right="0"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2"/>
          <w:sz w:val="24"/>
          <w:highlight w:val="white"/>
        </w:rPr>
        <w:t>Неудовлетворительное состояние систем водоснабжения, водоотведения и очистки сточных вод вызвано недостаточным финансированием отрасли.</w:t>
      </w:r>
    </w:p>
    <w:p>
      <w:pPr>
        <w:pStyle w:val="Normal"/>
        <w:ind w:left="0" w:right="0"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Данная программа направлена на повышение надежности и качества водообеспечения населения, объектов соцкультбыта, предприятий и организаций Ильинского муниципального района и его реализация требует дополнительного целевого финансового обеспечения.</w:t>
      </w:r>
    </w:p>
    <w:p>
      <w:pPr>
        <w:pStyle w:val="Normal"/>
        <w:rPr>
          <w:rFonts w:ascii="Tahoma" w:hAnsi="Tahoma"/>
          <w:sz w:val="24"/>
        </w:rPr>
      </w:pPr>
      <w:r>
        <w:rPr>
          <w:rFonts w:ascii="Tahoma" w:hAnsi="Tahoma"/>
          <w:sz w:val="24"/>
        </w:rPr>
        <w:tab/>
      </w:r>
      <w:r>
        <w:rPr>
          <w:rFonts w:ascii="Times New Roman" w:hAnsi="Times New Roman"/>
          <w:sz w:val="24"/>
        </w:rPr>
        <w:t>Для обеспечения бесперебойного и надежного водоснабжения населения, производственных объектов, объектов социально-культурного быта в полном объеме необходим комплекс мероприятий по замене ветхих водопроводных сетей, запорной и регулирующей арматуры, установки энергосберегающих автоматических станций управления насосами артезианских скважин, капитальный ремонт павильонов артезианских скважин, строительство ограждений санитарных зон артезианских скважин.</w:t>
      </w:r>
    </w:p>
    <w:p>
      <w:pPr>
        <w:pStyle w:val="Normal"/>
        <w:rPr>
          <w:rFonts w:ascii="Times New Roman" w:hAnsi="Times New Roman"/>
          <w:sz w:val="24"/>
        </w:rPr>
      </w:pPr>
      <w:r>
        <w:rPr>
          <w:rFonts w:ascii="Tahoma" w:hAnsi="Tahoma"/>
          <w:sz w:val="24"/>
        </w:rPr>
        <w:tab/>
      </w:r>
      <w:r>
        <w:rPr>
          <w:rFonts w:ascii="Times New Roman" w:hAnsi="Times New Roman"/>
          <w:sz w:val="24"/>
        </w:rPr>
        <w:t>Данная программа направлена на улучшение и произведение ремонтных работ, содержание и техническое обслуживание объектов используемых для централизованного холодного водоснабжения населения.</w:t>
      </w:r>
    </w:p>
    <w:p>
      <w:pPr>
        <w:pStyle w:val="Normal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16"/>
        </w:rPr>
      </w:pPr>
      <w:r>
        <w:rPr>
          <w:rFonts w:ascii="Times New Roman" w:hAnsi="Times New Roman"/>
          <w:b/>
          <w:sz w:val="24"/>
        </w:rPr>
        <w:t>3.  Цели и ожидаемые результаты реализации муниципальной программы</w:t>
      </w:r>
    </w:p>
    <w:p>
      <w:pPr>
        <w:pStyle w:val="Normal"/>
        <w:jc w:val="center"/>
        <w:rPr>
          <w:rFonts w:ascii="Times New Roman" w:hAnsi="Times New Roman"/>
          <w:b/>
          <w:b/>
          <w:sz w:val="16"/>
        </w:rPr>
      </w:pPr>
      <w:r>
        <w:rPr>
          <w:rFonts w:ascii="Times New Roman" w:hAnsi="Times New Roman"/>
          <w:b/>
          <w:sz w:val="16"/>
        </w:rPr>
      </w:r>
    </w:p>
    <w:p>
      <w:pPr>
        <w:pStyle w:val="Normal"/>
        <w:rPr>
          <w:rFonts w:ascii="Times New Roman" w:hAnsi="Times New Roman"/>
          <w:spacing w:val="2"/>
          <w:sz w:val="24"/>
        </w:rPr>
      </w:pPr>
      <w:r>
        <w:rPr>
          <w:rFonts w:ascii="Times New Roman" w:hAnsi="Times New Roman"/>
          <w:sz w:val="24"/>
        </w:rPr>
        <w:tab/>
        <w:t xml:space="preserve">Целями муниципальной программы </w:t>
      </w:r>
      <w:r>
        <w:rPr>
          <w:rFonts w:ascii="Times New Roman" w:hAnsi="Times New Roman"/>
          <w:spacing w:val="2"/>
          <w:sz w:val="24"/>
        </w:rPr>
        <w:t>являются:</w:t>
      </w:r>
    </w:p>
    <w:p>
      <w:pPr>
        <w:pStyle w:val="Normal"/>
        <w:numPr>
          <w:ilvl w:val="0"/>
          <w:numId w:val="0"/>
        </w:numPr>
        <w:ind w:left="0" w:right="0" w:hanging="0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создание нормальных условий для эксплуатации и сохранности жилищного фонда;</w:t>
      </w:r>
    </w:p>
    <w:p>
      <w:pPr>
        <w:pStyle w:val="Normal"/>
        <w:numPr>
          <w:ilvl w:val="0"/>
          <w:numId w:val="0"/>
        </w:numPr>
        <w:spacing w:before="0" w:after="0"/>
        <w:ind w:left="0" w:right="0" w:hanging="0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совершенствование и повышение качества предоставляемых коммунальных услуг в целях улучшения жилищно-бытовых условий населения;</w:t>
      </w:r>
    </w:p>
    <w:p>
      <w:pPr>
        <w:pStyle w:val="Formattext1"/>
        <w:spacing w:before="0" w:after="0"/>
        <w:jc w:val="both"/>
        <w:rPr>
          <w:spacing w:val="2"/>
        </w:rPr>
      </w:pPr>
      <w:r>
        <w:rPr>
          <w:spacing w:val="2"/>
        </w:rPr>
        <w:t xml:space="preserve">- улучшение обеспечения населения питьевой водой надлежащего качества и в достаточном количестве, </w:t>
      </w:r>
    </w:p>
    <w:p>
      <w:pPr>
        <w:pStyle w:val="Formattext1"/>
        <w:spacing w:before="0" w:after="0"/>
        <w:jc w:val="both"/>
        <w:rPr>
          <w:spacing w:val="2"/>
        </w:rPr>
      </w:pPr>
      <w:r>
        <w:rPr>
          <w:spacing w:val="2"/>
        </w:rPr>
        <w:t>- повышение степени очистки сточных вод, сокращение объема загрязняющих веществ, сбрасываемых в водные объекты, улучшение на этой основе состояния здоровья населения Ильинского муниципального района;</w:t>
      </w:r>
    </w:p>
    <w:p>
      <w:pPr>
        <w:pStyle w:val="Formattext1"/>
        <w:spacing w:before="0" w:after="0"/>
        <w:jc w:val="both"/>
        <w:rPr>
          <w:spacing w:val="2"/>
        </w:rPr>
      </w:pPr>
      <w:r>
        <w:rPr>
          <w:spacing w:val="2"/>
        </w:rPr>
        <w:t>- восстановление, охрана и рациональное использование источников питьевого водоснабжения.</w:t>
      </w:r>
    </w:p>
    <w:p>
      <w:pPr>
        <w:pStyle w:val="Formattext1"/>
        <w:spacing w:before="0" w:after="0"/>
        <w:jc w:val="both"/>
        <w:rPr>
          <w:spacing w:val="2"/>
        </w:rPr>
      </w:pPr>
      <w:r>
        <w:rPr>
          <w:spacing w:val="2"/>
        </w:rPr>
        <w:t>- повышение качества предоставляемых потребителям коммунальных услуг.</w:t>
      </w:r>
    </w:p>
    <w:p>
      <w:pPr>
        <w:pStyle w:val="Normal"/>
        <w:numPr>
          <w:ilvl w:val="0"/>
          <w:numId w:val="0"/>
        </w:numPr>
        <w:ind w:left="0" w:right="0" w:hanging="0"/>
        <w:outlineLvl w:val="1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ab/>
        <w:t>Реализация мероприятий программы позволит:</w:t>
      </w:r>
    </w:p>
    <w:p>
      <w:pPr>
        <w:pStyle w:val="Normal"/>
        <w:rPr>
          <w:color w:val="2D2D2D"/>
          <w:spacing w:val="2"/>
        </w:rPr>
      </w:pPr>
      <w:r>
        <w:rPr>
          <w:rFonts w:ascii="Times New Roman" w:hAnsi="Times New Roman"/>
          <w:color w:val="000000"/>
          <w:sz w:val="24"/>
          <w:highlight w:val="white"/>
        </w:rPr>
        <w:t>- создать комфортные и безопасные условия проживания граждан в жилых помещениях;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- обеспечить бесперебойное водоснабжение населения Ильинского муниципального района питьевой водой нормативного качества и в достаточном количестве;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- обеспечить экологическую безопасность и комфортность проживания граждан;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- устранить причины возникновения аварийных ситуаций, угрожающих жизнедеятельности человека;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444444"/>
          <w:sz w:val="24"/>
        </w:rPr>
        <w:t xml:space="preserve">- </w:t>
      </w:r>
      <w:r>
        <w:rPr>
          <w:rFonts w:ascii="Times New Roman" w:hAnsi="Times New Roman"/>
          <w:color w:val="000000"/>
          <w:sz w:val="24"/>
          <w:highlight w:val="white"/>
        </w:rPr>
        <w:t>снизить уровень потерь питьевой воды;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- обеспечить выполнение мероприятий по модернизации систем водоснабжения и водоотведения;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- снизить уровень износа элементов системы водоснабжения и водоотведения;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jc w:val="center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color w:val="000000"/>
          <w:sz w:val="24"/>
          <w:highlight w:val="white"/>
        </w:rPr>
        <w:t>3.1.</w:t>
      </w:r>
      <w:r>
        <w:rPr>
          <w:rFonts w:ascii="Times New Roman" w:hAnsi="Times New Roman"/>
          <w:b/>
          <w:sz w:val="24"/>
        </w:rPr>
        <w:t xml:space="preserve"> Целевые индикаторы и ожидаемые результаты реализации программы</w:t>
      </w:r>
    </w:p>
    <w:p>
      <w:pPr>
        <w:pStyle w:val="Normal"/>
        <w:ind w:left="1863" w:right="0" w:hanging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2</w:t>
      </w:r>
    </w:p>
    <w:tbl>
      <w:tblPr>
        <w:tblStyle w:val="Style_4"/>
        <w:tblW w:w="9497" w:type="dxa"/>
        <w:jc w:val="left"/>
        <w:tblInd w:w="0" w:type="dxa"/>
        <w:tblCellMar>
          <w:top w:w="0" w:type="dxa"/>
          <w:left w:w="7" w:type="dxa"/>
          <w:bottom w:w="0" w:type="dxa"/>
          <w:right w:w="26" w:type="dxa"/>
        </w:tblCellMar>
      </w:tblPr>
      <w:tblGrid>
        <w:gridCol w:w="5141"/>
        <w:gridCol w:w="858"/>
        <w:gridCol w:w="917"/>
        <w:gridCol w:w="885"/>
        <w:gridCol w:w="870"/>
        <w:gridCol w:w="825"/>
      </w:tblGrid>
      <w:tr>
        <w:trPr>
          <w:trHeight w:val="454" w:hRule="atLeast"/>
        </w:trPr>
        <w:tc>
          <w:tcPr>
            <w:tcW w:w="5141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72" w:right="0" w:hanging="0"/>
              <w:jc w:val="center"/>
              <w:rPr>
                <w:rFonts w:ascii="Times New Roman" w:hAnsi="Times New Roman"/>
                <w:b/>
                <w:b/>
                <w:spacing w:val="-2"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Наименование целевого индикатора</w:t>
            </w:r>
          </w:p>
          <w:p>
            <w:pPr>
              <w:pStyle w:val="Normal"/>
              <w:widowControl w:val="false"/>
              <w:spacing w:lineRule="auto" w:line="240" w:before="0" w:after="0"/>
              <w:ind w:left="72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(показателя)</w:t>
            </w:r>
          </w:p>
        </w:tc>
        <w:tc>
          <w:tcPr>
            <w:tcW w:w="858" w:type="dxa"/>
            <w:tcBorders>
              <w:top w:val="single" w:sz="6" w:space="0" w:color="00000A"/>
              <w:left w:val="single" w:sz="6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7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Ед. изм.</w:t>
            </w:r>
          </w:p>
        </w:tc>
        <w:tc>
          <w:tcPr>
            <w:tcW w:w="917" w:type="dxa"/>
            <w:tcBorders>
              <w:top w:val="single" w:sz="6" w:space="0" w:color="00000A"/>
              <w:left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7" w:right="0" w:hanging="0"/>
              <w:jc w:val="center"/>
              <w:rPr/>
            </w:pPr>
            <w:r>
              <w:rPr>
                <w:rFonts w:ascii="Times New Roman" w:hAnsi="Times New Roman"/>
                <w:b/>
                <w:spacing w:val="-9"/>
                <w:sz w:val="20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ind w:left="7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9"/>
                <w:sz w:val="20"/>
              </w:rPr>
              <w:t>год</w:t>
            </w:r>
          </w:p>
        </w:tc>
        <w:tc>
          <w:tcPr>
            <w:tcW w:w="885" w:type="dxa"/>
            <w:tcBorders>
              <w:top w:val="single" w:sz="6" w:space="0" w:color="00000A"/>
              <w:lef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7" w:right="0" w:hanging="0"/>
              <w:jc w:val="center"/>
              <w:rPr/>
            </w:pPr>
            <w:r>
              <w:rPr>
                <w:rFonts w:ascii="Times New Roman" w:hAnsi="Times New Roman"/>
                <w:b/>
                <w:spacing w:val="-9"/>
                <w:sz w:val="20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ind w:left="7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9"/>
                <w:sz w:val="20"/>
              </w:rPr>
              <w:t>год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7" w:right="0" w:hanging="0"/>
              <w:jc w:val="center"/>
              <w:rPr/>
            </w:pPr>
            <w:r>
              <w:rPr>
                <w:rFonts w:ascii="Times New Roman" w:hAnsi="Times New Roman"/>
                <w:b/>
                <w:spacing w:val="-9"/>
                <w:sz w:val="20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ind w:left="7" w:right="0" w:hanging="0"/>
              <w:jc w:val="center"/>
              <w:rPr/>
            </w:pPr>
            <w:r>
              <w:rPr>
                <w:rFonts w:ascii="Times New Roman" w:hAnsi="Times New Roman"/>
                <w:b/>
                <w:spacing w:val="-9"/>
                <w:sz w:val="20"/>
              </w:rPr>
              <w:t>год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4" w:space="0" w:color="00000A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7" w:right="0" w:hanging="0"/>
              <w:jc w:val="center"/>
              <w:rPr>
                <w:rFonts w:ascii="Times New Roman" w:hAnsi="Times New Roman"/>
                <w:b/>
                <w:b/>
                <w:spacing w:val="-9"/>
                <w:sz w:val="20"/>
              </w:rPr>
            </w:pPr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2025 </w:t>
            </w:r>
          </w:p>
          <w:p>
            <w:pPr>
              <w:pStyle w:val="Normal"/>
              <w:widowControl w:val="false"/>
              <w:spacing w:lineRule="auto" w:line="240" w:before="0" w:after="0"/>
              <w:ind w:left="7" w:right="0" w:hanging="0"/>
              <w:jc w:val="center"/>
              <w:rPr>
                <w:rFonts w:ascii="Times New Roman" w:hAnsi="Times New Roman"/>
                <w:b/>
                <w:b/>
                <w:spacing w:val="-9"/>
                <w:sz w:val="20"/>
              </w:rPr>
            </w:pPr>
            <w:r>
              <w:rPr>
                <w:rFonts w:ascii="Times New Roman" w:hAnsi="Times New Roman"/>
                <w:b/>
                <w:spacing w:val="-9"/>
                <w:sz w:val="20"/>
              </w:rPr>
              <w:t>год</w:t>
            </w:r>
          </w:p>
        </w:tc>
      </w:tr>
      <w:tr>
        <w:trPr>
          <w:trHeight w:val="481" w:hRule="atLeast"/>
        </w:trPr>
        <w:tc>
          <w:tcPr>
            <w:tcW w:w="5141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66" w:right="106" w:firstLine="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Доля уличной водопроводной сети, нуждающейся в замене</w:t>
            </w:r>
          </w:p>
        </w:tc>
        <w:tc>
          <w:tcPr>
            <w:tcW w:w="858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%</w:t>
            </w:r>
          </w:p>
        </w:tc>
        <w:tc>
          <w:tcPr>
            <w:tcW w:w="917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85</w:t>
            </w:r>
          </w:p>
        </w:tc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84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83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82</w:t>
            </w:r>
          </w:p>
        </w:tc>
      </w:tr>
      <w:tr>
        <w:trPr>
          <w:trHeight w:val="494" w:hRule="atLeast"/>
        </w:trPr>
        <w:tc>
          <w:tcPr>
            <w:tcW w:w="5141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66" w:right="106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Доля уличной канализационной сети, нуждающейся в замене</w:t>
            </w:r>
          </w:p>
        </w:tc>
        <w:tc>
          <w:tcPr>
            <w:tcW w:w="858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%</w:t>
            </w:r>
          </w:p>
        </w:tc>
        <w:tc>
          <w:tcPr>
            <w:tcW w:w="917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94</w:t>
            </w:r>
          </w:p>
        </w:tc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93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92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92</w:t>
            </w:r>
          </w:p>
        </w:tc>
      </w:tr>
      <w:tr>
        <w:trPr>
          <w:trHeight w:val="772" w:hRule="exact"/>
        </w:trPr>
        <w:tc>
          <w:tcPr>
            <w:tcW w:w="5141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66" w:right="106" w:firstLine="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Число аварий в системах водоснабжения водоотведения и очистки сточных вод</w:t>
            </w:r>
          </w:p>
        </w:tc>
        <w:tc>
          <w:tcPr>
            <w:tcW w:w="8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ед.</w:t>
            </w:r>
          </w:p>
        </w:tc>
        <w:tc>
          <w:tcPr>
            <w:tcW w:w="9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21</w:t>
            </w:r>
          </w:p>
        </w:tc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21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21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21</w:t>
            </w:r>
          </w:p>
        </w:tc>
      </w:tr>
      <w:tr>
        <w:trPr>
          <w:trHeight w:val="735" w:hRule="exact"/>
        </w:trPr>
        <w:tc>
          <w:tcPr>
            <w:tcW w:w="5141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66" w:right="106" w:firstLine="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Обеспеченность населения централизованными услугами водоснабжения</w:t>
            </w:r>
          </w:p>
        </w:tc>
        <w:tc>
          <w:tcPr>
            <w:tcW w:w="8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%</w:t>
            </w:r>
          </w:p>
        </w:tc>
        <w:tc>
          <w:tcPr>
            <w:tcW w:w="9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37</w:t>
            </w:r>
          </w:p>
        </w:tc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37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37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37</w:t>
            </w:r>
          </w:p>
        </w:tc>
      </w:tr>
      <w:tr>
        <w:trPr>
          <w:trHeight w:val="705" w:hRule="exact"/>
        </w:trPr>
        <w:tc>
          <w:tcPr>
            <w:tcW w:w="51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66" w:right="106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Обеспеченность населения централизованными услугами водоотведения</w:t>
            </w:r>
          </w:p>
        </w:tc>
        <w:tc>
          <w:tcPr>
            <w:tcW w:w="8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%</w:t>
            </w:r>
          </w:p>
        </w:tc>
        <w:tc>
          <w:tcPr>
            <w:tcW w:w="9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</w:t>
            </w:r>
          </w:p>
        </w:tc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</w:t>
            </w:r>
          </w:p>
        </w:tc>
      </w:tr>
      <w:tr>
        <w:trPr>
          <w:trHeight w:val="615" w:hRule="exact"/>
        </w:trPr>
        <w:tc>
          <w:tcPr>
            <w:tcW w:w="51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166" w:right="106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Ремонт и содержание муниципального жилищного фонда (приобретение жилья)</w:t>
            </w:r>
          </w:p>
        </w:tc>
        <w:tc>
          <w:tcPr>
            <w:tcW w:w="8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квартир</w:t>
            </w:r>
          </w:p>
        </w:tc>
        <w:tc>
          <w:tcPr>
            <w:tcW w:w="9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1</w:t>
            </w:r>
          </w:p>
        </w:tc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1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1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1</w:t>
            </w:r>
          </w:p>
        </w:tc>
      </w:tr>
      <w:tr>
        <w:trPr>
          <w:trHeight w:val="600" w:hRule="exact"/>
        </w:trPr>
        <w:tc>
          <w:tcPr>
            <w:tcW w:w="51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166" w:right="106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Оплата коммунальных услуг пустующих муниципальных квартир</w:t>
            </w:r>
          </w:p>
        </w:tc>
        <w:tc>
          <w:tcPr>
            <w:tcW w:w="8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квартир</w:t>
            </w:r>
          </w:p>
        </w:tc>
        <w:tc>
          <w:tcPr>
            <w:tcW w:w="9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0</w:t>
            </w:r>
          </w:p>
        </w:tc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0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0</w:t>
            </w:r>
          </w:p>
        </w:tc>
      </w:tr>
      <w:tr>
        <w:trPr>
          <w:trHeight w:val="1260" w:hRule="exact"/>
        </w:trPr>
        <w:tc>
          <w:tcPr>
            <w:tcW w:w="51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166" w:right="106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Взносы в фонд Регионального оператора Ивановской области на капитальный ремонт муниципального жилищного фонда в многоквартирных домах</w:t>
            </w:r>
          </w:p>
        </w:tc>
        <w:tc>
          <w:tcPr>
            <w:tcW w:w="8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квартир</w:t>
            </w:r>
          </w:p>
        </w:tc>
        <w:tc>
          <w:tcPr>
            <w:tcW w:w="9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58</w:t>
            </w:r>
          </w:p>
        </w:tc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58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58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58</w:t>
            </w:r>
          </w:p>
        </w:tc>
      </w:tr>
    </w:tbl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jc w:val="center"/>
        <w:rPr>
          <w:rFonts w:ascii="Times New Roman" w:hAnsi="Times New Roman"/>
          <w:b/>
          <w:b/>
          <w:color w:val="000000"/>
          <w:sz w:val="24"/>
          <w:highlight w:val="white"/>
        </w:rPr>
      </w:pPr>
      <w:r>
        <w:rPr>
          <w:rFonts w:ascii="Times New Roman" w:hAnsi="Times New Roman"/>
          <w:b/>
          <w:color w:val="000000"/>
          <w:sz w:val="24"/>
          <w:highlight w:val="white"/>
        </w:rPr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jc w:val="center"/>
        <w:rPr>
          <w:rFonts w:ascii="Times New Roman" w:hAnsi="Times New Roman"/>
          <w:b/>
          <w:b/>
          <w:color w:val="000000"/>
          <w:sz w:val="24"/>
          <w:highlight w:val="white"/>
        </w:rPr>
      </w:pPr>
      <w:r>
        <w:rPr>
          <w:rFonts w:ascii="Times New Roman" w:hAnsi="Times New Roman"/>
          <w:b/>
          <w:color w:val="000000"/>
          <w:sz w:val="24"/>
          <w:highlight w:val="white"/>
        </w:rPr>
        <w:t>4. Обоснование выделения подпрограмм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jc w:val="center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</w:r>
    </w:p>
    <w:p>
      <w:pPr>
        <w:pStyle w:val="Normal"/>
        <w:rPr>
          <w:rFonts w:ascii="Times New Roman" w:hAnsi="Times New Roman"/>
          <w:spacing w:val="2"/>
          <w:sz w:val="24"/>
        </w:rPr>
      </w:pPr>
      <w:r>
        <w:rPr>
          <w:rFonts w:ascii="Times New Roman" w:hAnsi="Times New Roman"/>
          <w:sz w:val="24"/>
        </w:rPr>
        <w:tab/>
        <w:t xml:space="preserve">В программе </w:t>
      </w:r>
      <w:r>
        <w:rPr>
          <w:rFonts w:ascii="Times New Roman" w:hAnsi="Times New Roman"/>
          <w:spacing w:val="2"/>
          <w:sz w:val="24"/>
        </w:rPr>
        <w:t>«Обеспечение населения Ильинского муниципального района объектами инженерной инфраструктуры и услугами жилищно-коммунального хозяйства» для более полного раскрытия проблем выделены две подпрограммы:</w:t>
      </w:r>
      <w:r>
        <w:rPr>
          <w:rFonts w:ascii="Times New Roman" w:hAnsi="Times New Roman"/>
          <w:spacing w:val="-2"/>
          <w:sz w:val="24"/>
        </w:rPr>
        <w:t xml:space="preserve"> «Содержание муниципального жилищного фонда Ильинского муниципального района»;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pacing w:val="2"/>
          <w:sz w:val="24"/>
        </w:rPr>
        <w:t>Создание условий для обеспечения населения Ильинского муниципального района услугами холодного водоснабжения и водоотведения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pacing w:val="2"/>
          <w:sz w:val="24"/>
        </w:rPr>
        <w:t>. В каждой из перечисленных подпрограммах обозначены проблемы, цели и задачи, целевые показатели, ожидаемые результаты и мероприятия  подпрограмм.</w:t>
      </w:r>
      <w:r>
        <w:br w:type="page"/>
      </w:r>
    </w:p>
    <w:p>
      <w:pPr>
        <w:pStyle w:val="Normal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5. Ресурсное обеспечение муниципальной программы</w:t>
      </w:r>
    </w:p>
    <w:p>
      <w:pPr>
        <w:pStyle w:val="Normal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3</w:t>
      </w:r>
    </w:p>
    <w:tbl>
      <w:tblPr>
        <w:tblStyle w:val="Style_4"/>
        <w:tblW w:w="9415" w:type="dxa"/>
        <w:jc w:val="left"/>
        <w:tblInd w:w="83" w:type="dxa"/>
        <w:tblCellMar>
          <w:top w:w="0" w:type="dxa"/>
          <w:left w:w="83" w:type="dxa"/>
          <w:bottom w:w="0" w:type="dxa"/>
          <w:right w:w="108" w:type="dxa"/>
        </w:tblCellMar>
      </w:tblPr>
      <w:tblGrid>
        <w:gridCol w:w="2704"/>
        <w:gridCol w:w="1665"/>
        <w:gridCol w:w="1590"/>
        <w:gridCol w:w="1776"/>
        <w:gridCol w:w="1680"/>
      </w:tblGrid>
      <w:tr>
        <w:trPr>
          <w:trHeight w:val="478" w:hRule="atLeast"/>
        </w:trPr>
        <w:tc>
          <w:tcPr>
            <w:tcW w:w="27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0"/>
                <w:sz w:val="20"/>
              </w:rPr>
              <w:t>Направления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0"/>
                <w:sz w:val="20"/>
              </w:rPr>
              <w:t>финансирования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0"/>
                <w:sz w:val="20"/>
              </w:rPr>
              <w:t>и источники</w:t>
            </w:r>
          </w:p>
        </w:tc>
        <w:tc>
          <w:tcPr>
            <w:tcW w:w="1665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год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год</w:t>
            </w:r>
          </w:p>
        </w:tc>
        <w:tc>
          <w:tcPr>
            <w:tcW w:w="1776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год</w:t>
            </w: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2025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год</w:t>
            </w:r>
          </w:p>
        </w:tc>
      </w:tr>
      <w:tr>
        <w:trPr/>
        <w:tc>
          <w:tcPr>
            <w:tcW w:w="27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b/>
                <w:b/>
                <w:sz w:val="24"/>
              </w:rPr>
            </w:pPr>
            <w:r>
              <w:rPr>
                <w:b/>
                <w:spacing w:val="0"/>
                <w:sz w:val="24"/>
              </w:rPr>
              <w:t>ВСЕГО: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1665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3665,48168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sz w:val="24"/>
              </w:rPr>
              <w:t>7834,5</w:t>
            </w:r>
          </w:p>
        </w:tc>
        <w:tc>
          <w:tcPr>
            <w:tcW w:w="1776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0"/>
                <w:sz w:val="24"/>
              </w:rPr>
              <w:t>2880,0</w:t>
            </w: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0"/>
                <w:sz w:val="24"/>
              </w:rPr>
              <w:t>2880,0</w:t>
            </w:r>
          </w:p>
        </w:tc>
      </w:tr>
      <w:tr>
        <w:trPr/>
        <w:tc>
          <w:tcPr>
            <w:tcW w:w="941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b/>
                <w:b/>
                <w:i/>
                <w:i/>
                <w:spacing w:val="-2"/>
                <w:sz w:val="24"/>
                <w:u w:val="single"/>
              </w:rPr>
            </w:pPr>
            <w:r>
              <w:rPr>
                <w:b/>
                <w:i/>
                <w:spacing w:val="-2"/>
                <w:sz w:val="24"/>
                <w:u w:val="single"/>
              </w:rPr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b/>
                <w:b/>
                <w:i/>
                <w:i/>
                <w:spacing w:val="-2"/>
                <w:sz w:val="24"/>
              </w:rPr>
            </w:pPr>
            <w:r>
              <w:rPr>
                <w:b/>
                <w:i/>
                <w:spacing w:val="-2"/>
                <w:sz w:val="24"/>
                <w:u w:val="single"/>
              </w:rPr>
              <w:t>Подпрограмма</w:t>
            </w:r>
            <w:r>
              <w:rPr>
                <w:b/>
                <w:i/>
                <w:spacing w:val="-2"/>
                <w:sz w:val="24"/>
              </w:rPr>
              <w:t>: Содержание муниципального жилищного фонда Ильинского муниципального района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</w:tr>
      <w:tr>
        <w:trPr/>
        <w:tc>
          <w:tcPr>
            <w:tcW w:w="27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sz w:val="24"/>
              </w:rPr>
              <w:t>местный бюджет</w:t>
            </w:r>
          </w:p>
        </w:tc>
        <w:tc>
          <w:tcPr>
            <w:tcW w:w="1665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1292,3021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pacing w:val="0"/>
                <w:sz w:val="24"/>
              </w:rPr>
              <w:t>580,0</w:t>
            </w:r>
          </w:p>
        </w:tc>
        <w:tc>
          <w:tcPr>
            <w:tcW w:w="1776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pacing w:val="0"/>
                <w:sz w:val="24"/>
              </w:rPr>
              <w:t>580,0</w:t>
            </w: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pacing w:val="0"/>
                <w:sz w:val="24"/>
              </w:rPr>
              <w:t>580,0</w:t>
            </w:r>
          </w:p>
        </w:tc>
      </w:tr>
      <w:tr>
        <w:trPr/>
        <w:tc>
          <w:tcPr>
            <w:tcW w:w="27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sz w:val="24"/>
              </w:rPr>
              <w:t>областной бюджет</w:t>
            </w:r>
          </w:p>
        </w:tc>
        <w:tc>
          <w:tcPr>
            <w:tcW w:w="1665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pacing w:val="0"/>
                <w:sz w:val="24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pacing w:val="0"/>
                <w:sz w:val="24"/>
              </w:rPr>
              <w:t>0,0</w:t>
            </w:r>
          </w:p>
        </w:tc>
        <w:tc>
          <w:tcPr>
            <w:tcW w:w="1776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pacing w:val="0"/>
                <w:sz w:val="24"/>
              </w:rPr>
              <w:t>0,0</w:t>
            </w: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pacing w:val="0"/>
                <w:sz w:val="24"/>
              </w:rPr>
              <w:t>0,0</w:t>
            </w:r>
          </w:p>
        </w:tc>
      </w:tr>
      <w:tr>
        <w:trPr/>
        <w:tc>
          <w:tcPr>
            <w:tcW w:w="941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i/>
                <w:i/>
                <w:sz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u w:val="singl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i/>
                <w:i/>
                <w:spacing w:val="2"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0"/>
                <w:sz w:val="24"/>
                <w:u w:val="single"/>
              </w:rPr>
              <w:t>Подпрограмма</w:t>
            </w:r>
            <w:r>
              <w:rPr>
                <w:rFonts w:ascii="Times New Roman" w:hAnsi="Times New Roman"/>
                <w:b/>
                <w:i/>
                <w:spacing w:val="0"/>
                <w:sz w:val="24"/>
              </w:rPr>
              <w:t xml:space="preserve">: </w:t>
            </w:r>
            <w:r>
              <w:rPr>
                <w:rFonts w:ascii="Times New Roman" w:hAnsi="Times New Roman"/>
                <w:b/>
                <w:i/>
                <w:spacing w:val="2"/>
                <w:sz w:val="24"/>
              </w:rPr>
              <w:t>Создание условий для обеспечения населения Ильинского муниципального района услугами холодного водоснабжения и водоотведения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i/>
                <w:i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6"/>
                <w:sz w:val="24"/>
              </w:rPr>
            </w:r>
          </w:p>
        </w:tc>
      </w:tr>
      <w:tr>
        <w:trPr/>
        <w:tc>
          <w:tcPr>
            <w:tcW w:w="27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sz w:val="24"/>
              </w:rPr>
              <w:t>местный бюджет</w:t>
            </w:r>
          </w:p>
        </w:tc>
        <w:tc>
          <w:tcPr>
            <w:tcW w:w="1665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0" w:right="0" w:hanging="0"/>
              <w:rPr>
                <w:b w:val="false"/>
                <w:b w:val="false"/>
              </w:rPr>
            </w:pPr>
            <w:r>
              <w:rPr>
                <w:rFonts w:ascii="Times New Roman" w:hAnsi="Times New Roman"/>
                <w:b w:val="false"/>
                <w:spacing w:val="0"/>
                <w:sz w:val="24"/>
              </w:rPr>
              <w:t>2173,17958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jc w:val="center"/>
              <w:rPr>
                <w:b w:val="false"/>
                <w:b w:val="false"/>
              </w:rPr>
            </w:pPr>
            <w:r>
              <w:rPr>
                <w:rFonts w:ascii="Times New Roman" w:hAnsi="Times New Roman"/>
                <w:b w:val="false"/>
                <w:color w:val="000000"/>
                <w:spacing w:val="0"/>
                <w:sz w:val="24"/>
              </w:rPr>
              <w:t>2547,725</w:t>
            </w:r>
          </w:p>
        </w:tc>
        <w:tc>
          <w:tcPr>
            <w:tcW w:w="1776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pacing w:val="0"/>
                <w:sz w:val="24"/>
              </w:rPr>
              <w:t>2300,0</w:t>
            </w: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pacing w:val="0"/>
                <w:sz w:val="24"/>
              </w:rPr>
              <w:t>2300,0</w:t>
            </w:r>
          </w:p>
        </w:tc>
      </w:tr>
      <w:tr>
        <w:trPr/>
        <w:tc>
          <w:tcPr>
            <w:tcW w:w="27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sz w:val="24"/>
              </w:rPr>
              <w:t>областной бюджет</w:t>
            </w:r>
          </w:p>
        </w:tc>
        <w:tc>
          <w:tcPr>
            <w:tcW w:w="1665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center"/>
              <w:rPr>
                <w:b w:val="false"/>
                <w:b w:val="false"/>
              </w:rPr>
            </w:pPr>
            <w:r>
              <w:rPr>
                <w:rFonts w:ascii="Times New Roman" w:hAnsi="Times New Roman"/>
                <w:b w:val="false"/>
                <w:spacing w:val="0"/>
                <w:sz w:val="24"/>
              </w:rPr>
              <w:t>200,00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jc w:val="center"/>
              <w:rPr>
                <w:b w:val="false"/>
                <w:b w:val="false"/>
              </w:rPr>
            </w:pPr>
            <w:r>
              <w:rPr>
                <w:rFonts w:ascii="Times New Roman" w:hAnsi="Times New Roman"/>
                <w:b w:val="false"/>
                <w:color w:val="000000"/>
                <w:spacing w:val="0"/>
                <w:sz w:val="24"/>
              </w:rPr>
              <w:t>4706,775</w:t>
            </w:r>
          </w:p>
        </w:tc>
        <w:tc>
          <w:tcPr>
            <w:tcW w:w="1776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pacing w:val="0"/>
                <w:sz w:val="24"/>
              </w:rPr>
              <w:t>0,0</w:t>
            </w: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pacing w:val="0"/>
                <w:sz w:val="24"/>
              </w:rPr>
              <w:t>0,0</w:t>
            </w:r>
          </w:p>
        </w:tc>
      </w:tr>
    </w:tbl>
    <w:p>
      <w:pPr>
        <w:pStyle w:val="Normal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br w:type="page"/>
      </w:r>
    </w:p>
    <w:p>
      <w:pPr>
        <w:pStyle w:val="Normal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Приложение 1</w:t>
      </w:r>
    </w:p>
    <w:p>
      <w:pPr>
        <w:pStyle w:val="Normal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к  Муниципальной программе «Обеспечение населения </w:t>
      </w:r>
    </w:p>
    <w:p>
      <w:pPr>
        <w:pStyle w:val="Normal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Ильинского муниципального района объектами инженерной </w:t>
      </w:r>
    </w:p>
    <w:p>
      <w:pPr>
        <w:pStyle w:val="Normal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инфраструктуры и услугами жилищно-коммунального хозяйства»</w:t>
      </w:r>
    </w:p>
    <w:p>
      <w:pPr>
        <w:pStyle w:val="Normal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ПОДПРОГРАММА </w:t>
      </w:r>
    </w:p>
    <w:p>
      <w:pPr>
        <w:pStyle w:val="Normal"/>
        <w:jc w:val="center"/>
        <w:rPr>
          <w:rFonts w:ascii="Times New Roman" w:hAnsi="Times New Roman"/>
          <w:b/>
          <w:b/>
          <w:spacing w:val="-2"/>
          <w:sz w:val="24"/>
        </w:rPr>
      </w:pPr>
      <w:r>
        <w:rPr>
          <w:rFonts w:ascii="Times New Roman" w:hAnsi="Times New Roman"/>
          <w:b/>
          <w:spacing w:val="-2"/>
          <w:sz w:val="24"/>
        </w:rPr>
        <w:t>«Содержание муниципального жилищного фонда Ильинского муниципального района»</w:t>
      </w:r>
    </w:p>
    <w:p>
      <w:pPr>
        <w:pStyle w:val="Normal"/>
        <w:jc w:val="center"/>
        <w:rPr>
          <w:rFonts w:ascii="Times New Roman" w:hAnsi="Times New Roman"/>
          <w:b/>
          <w:b/>
          <w:sz w:val="16"/>
        </w:rPr>
      </w:pPr>
      <w:r>
        <w:rPr>
          <w:rFonts w:ascii="Times New Roman" w:hAnsi="Times New Roman"/>
          <w:b/>
          <w:sz w:val="16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 Паспорт подпрограммы </w:t>
      </w:r>
    </w:p>
    <w:p>
      <w:pPr>
        <w:pStyle w:val="Normal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pacing w:val="-2"/>
          <w:sz w:val="24"/>
        </w:rPr>
        <w:t>«Содержание муниципального жилищного фонда Ильинского муниципального района»</w:t>
      </w:r>
    </w:p>
    <w:p>
      <w:pPr>
        <w:pStyle w:val="Normal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1</w:t>
      </w:r>
    </w:p>
    <w:tbl>
      <w:tblPr>
        <w:tblStyle w:val="Style_4"/>
        <w:tblW w:w="9497" w:type="dxa"/>
        <w:jc w:val="left"/>
        <w:tblInd w:w="0" w:type="dxa"/>
        <w:tblCellMar>
          <w:top w:w="0" w:type="dxa"/>
          <w:left w:w="88" w:type="dxa"/>
          <w:bottom w:w="0" w:type="dxa"/>
          <w:right w:w="108" w:type="dxa"/>
        </w:tblCellMar>
      </w:tblPr>
      <w:tblGrid>
        <w:gridCol w:w="3024"/>
        <w:gridCol w:w="6472"/>
      </w:tblGrid>
      <w:tr>
        <w:trPr/>
        <w:tc>
          <w:tcPr>
            <w:tcW w:w="30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Наименование подпрограммы</w:t>
            </w:r>
          </w:p>
        </w:tc>
        <w:tc>
          <w:tcPr>
            <w:tcW w:w="6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«Содержание муниципального жилищного фонда Ильинского муниципального района»</w:t>
            </w:r>
          </w:p>
        </w:tc>
      </w:tr>
      <w:tr>
        <w:trPr>
          <w:trHeight w:val="120" w:hRule="atLeast"/>
        </w:trPr>
        <w:tc>
          <w:tcPr>
            <w:tcW w:w="30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Срок реализации подпрограммы</w:t>
            </w:r>
          </w:p>
        </w:tc>
        <w:tc>
          <w:tcPr>
            <w:tcW w:w="6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spacing w:val="0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2022-2025 годы</w:t>
            </w:r>
          </w:p>
        </w:tc>
      </w:tr>
      <w:tr>
        <w:trPr/>
        <w:tc>
          <w:tcPr>
            <w:tcW w:w="30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Администратор подпрограммы</w:t>
            </w:r>
          </w:p>
        </w:tc>
        <w:tc>
          <w:tcPr>
            <w:tcW w:w="6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Администрация Ильинского муниципального района</w:t>
            </w:r>
          </w:p>
        </w:tc>
      </w:tr>
      <w:tr>
        <w:trPr/>
        <w:tc>
          <w:tcPr>
            <w:tcW w:w="30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Исполнители подпрограммы</w:t>
            </w:r>
          </w:p>
        </w:tc>
        <w:tc>
          <w:tcPr>
            <w:tcW w:w="6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Администрация Ильинского муниципального района</w:t>
            </w:r>
          </w:p>
        </w:tc>
      </w:tr>
      <w:tr>
        <w:trPr/>
        <w:tc>
          <w:tcPr>
            <w:tcW w:w="30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Цели подпрограммы</w:t>
            </w:r>
          </w:p>
        </w:tc>
        <w:tc>
          <w:tcPr>
            <w:tcW w:w="6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right="0" w:hanging="0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- создание нормальных условий для эксплуатации и сохранности жилищного фонда;</w:t>
            </w:r>
          </w:p>
          <w:p>
            <w:pPr>
              <w:pStyle w:val="Tekstob1"/>
              <w:widowControl w:val="false"/>
              <w:spacing w:lineRule="auto" w:line="240" w:before="0" w:after="0"/>
              <w:ind w:left="0" w:right="0" w:hanging="0"/>
              <w:jc w:val="both"/>
              <w:rPr>
                <w:spacing w:val="0"/>
              </w:rPr>
            </w:pPr>
            <w:r>
              <w:rPr>
                <w:spacing w:val="0"/>
              </w:rPr>
              <w:t>- совершенствование и повышение качества предоставляемых коммунальных услуг в целях улучшения жилищно-бытовых условий населения;</w:t>
            </w:r>
          </w:p>
        </w:tc>
      </w:tr>
      <w:tr>
        <w:trPr>
          <w:trHeight w:val="2071" w:hRule="atLeast"/>
        </w:trPr>
        <w:tc>
          <w:tcPr>
            <w:tcW w:w="30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Целевые индикаторы и ожидаемые результаты подпрограммы</w:t>
            </w:r>
          </w:p>
        </w:tc>
        <w:tc>
          <w:tcPr>
            <w:tcW w:w="6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- возмещение разницы между  экономически обоснованным тарифом и тарифом, установленным  для населения (ремонт и содержание муниципального жилищного фонда);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- оплата коммунальных услуг пустующих муниципальных квартир;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- взносы в фонд регионального оператора Ивановской области на капитальный ремонт муниципального жилищного фонда в многоквартирных домах;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- ремонт и содержание муниципального жилищного фонда.</w:t>
            </w:r>
          </w:p>
        </w:tc>
      </w:tr>
      <w:tr>
        <w:trPr/>
        <w:tc>
          <w:tcPr>
            <w:tcW w:w="30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Задачи подпрограммы</w:t>
            </w:r>
          </w:p>
        </w:tc>
        <w:tc>
          <w:tcPr>
            <w:tcW w:w="6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Formattext1"/>
              <w:widowControl w:val="false"/>
              <w:spacing w:lineRule="atLeast" w:line="263" w:before="0" w:after="0"/>
              <w:ind w:left="0" w:right="0" w:hanging="0"/>
              <w:jc w:val="both"/>
              <w:rPr>
                <w:color w:val="000000"/>
                <w:spacing w:val="2"/>
              </w:rPr>
            </w:pPr>
            <w:r>
              <w:rPr>
                <w:rFonts w:ascii="Arial" w:hAnsi="Arial"/>
                <w:color w:val="000000"/>
                <w:spacing w:val="2"/>
              </w:rPr>
              <w:t xml:space="preserve">- </w:t>
            </w:r>
            <w:r>
              <w:rPr>
                <w:color w:val="000000"/>
                <w:spacing w:val="2"/>
              </w:rPr>
              <w:t>создание комфортных и безопасных условий проживания в многоквартирных домах;</w:t>
            </w:r>
          </w:p>
          <w:p>
            <w:pPr>
              <w:pStyle w:val="Formattext1"/>
              <w:widowControl w:val="false"/>
              <w:spacing w:lineRule="atLeast" w:line="263" w:before="0" w:after="0"/>
              <w:ind w:left="0" w:right="0" w:hanging="0"/>
              <w:jc w:val="both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- реализация механизма  работ по капитальному ремонту многоквартирных домов, проводимому с привлечением средств собственников помещений в многоквартирном доме;</w:t>
            </w:r>
          </w:p>
          <w:p>
            <w:pPr>
              <w:pStyle w:val="Formattext1"/>
              <w:widowControl w:val="false"/>
              <w:spacing w:lineRule="atLeast" w:line="263" w:before="0" w:after="0"/>
              <w:ind w:left="0" w:right="0" w:hanging="0"/>
              <w:jc w:val="both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- обеспечение выполнения работ по капитальному ремонту общего имущества многоквартирных домов;</w:t>
            </w:r>
          </w:p>
          <w:p>
            <w:pPr>
              <w:pStyle w:val="Formattext1"/>
              <w:widowControl w:val="false"/>
              <w:spacing w:lineRule="atLeast" w:line="263" w:before="0" w:after="0"/>
              <w:ind w:left="0" w:right="0" w:hanging="0"/>
              <w:jc w:val="both"/>
              <w:rPr>
                <w:rFonts w:ascii="Arial" w:hAnsi="Arial"/>
                <w:color w:val="000000"/>
                <w:spacing w:val="2"/>
                <w:sz w:val="18"/>
              </w:rPr>
            </w:pPr>
            <w:r>
              <w:rPr>
                <w:color w:val="000000"/>
                <w:spacing w:val="2"/>
              </w:rPr>
              <w:t xml:space="preserve">- </w:t>
            </w:r>
            <w:r>
              <w:rPr>
                <w:color w:val="000000"/>
                <w:spacing w:val="-2"/>
              </w:rPr>
              <w:t>оперативное реагирование на аварийные ситуации в сфере ЖКХ. Обеспечение комфортных и безопасных условий проживания - содержание дома в надлежащем порядке, проведение своевременного и качественного ремонта общего имущества.</w:t>
            </w:r>
          </w:p>
        </w:tc>
      </w:tr>
      <w:tr>
        <w:trPr/>
        <w:tc>
          <w:tcPr>
            <w:tcW w:w="30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0"/>
                <w:sz w:val="24"/>
              </w:rPr>
              <w:t>Объем бюджетных ассигнований на реализацию подпрограммы (по годам реализации)</w:t>
            </w:r>
          </w:p>
        </w:tc>
        <w:tc>
          <w:tcPr>
            <w:tcW w:w="6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sz w:val="24"/>
              </w:rPr>
              <w:t>Общая сумма расходов на реализацию подпрограммы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pacing w:val="0"/>
              </w:rPr>
            </w:pPr>
            <w:r>
              <w:rPr>
                <w:spacing w:val="0"/>
                <w:sz w:val="24"/>
              </w:rPr>
              <w:t>на 2022 – 2025 годы</w:t>
            </w:r>
            <w:r>
              <w:rPr>
                <w:b/>
                <w:spacing w:val="0"/>
                <w:sz w:val="24"/>
              </w:rPr>
              <w:t>:</w:t>
            </w:r>
            <w:r>
              <w:rPr>
                <w:b/>
                <w:color w:val="FB290D"/>
                <w:spacing w:val="0"/>
                <w:sz w:val="24"/>
              </w:rPr>
              <w:t xml:space="preserve"> </w:t>
            </w:r>
            <w:r>
              <w:rPr>
                <w:b/>
                <w:color w:val="000000"/>
                <w:spacing w:val="0"/>
                <w:sz w:val="24"/>
              </w:rPr>
              <w:t>3032,3021</w:t>
            </w:r>
            <w:r>
              <w:rPr>
                <w:b/>
                <w:color w:val="FB290D"/>
                <w:spacing w:val="0"/>
                <w:sz w:val="24"/>
              </w:rPr>
              <w:t xml:space="preserve"> </w:t>
            </w:r>
            <w:r>
              <w:rPr>
                <w:b/>
                <w:spacing w:val="0"/>
                <w:sz w:val="24"/>
              </w:rPr>
              <w:t>тыс. руб</w:t>
            </w:r>
            <w:r>
              <w:rPr>
                <w:spacing w:val="0"/>
                <w:sz w:val="24"/>
              </w:rPr>
              <w:t>.,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sz w:val="24"/>
              </w:rPr>
              <w:t>в том числе средства местного бюджета: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pacing w:val="0"/>
              </w:rPr>
            </w:pPr>
            <w:r>
              <w:rPr>
                <w:spacing w:val="0"/>
                <w:sz w:val="24"/>
              </w:rPr>
              <w:t>2022 год – 1292,3021 тыс. руб.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pacing w:val="0"/>
              </w:rPr>
            </w:pPr>
            <w:r>
              <w:rPr>
                <w:spacing w:val="0"/>
                <w:sz w:val="24"/>
              </w:rPr>
              <w:t>2023 год – 580,0 тыс. руб.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pacing w:val="0"/>
              </w:rPr>
            </w:pPr>
            <w:r>
              <w:rPr>
                <w:spacing w:val="0"/>
                <w:sz w:val="24"/>
              </w:rPr>
              <w:t>2024 год — 580,0  тыс. руб.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sz w:val="24"/>
              </w:rPr>
              <w:t>2025 год – 580,0 тыс. руб.</w:t>
            </w:r>
          </w:p>
        </w:tc>
      </w:tr>
    </w:tbl>
    <w:p>
      <w:pPr>
        <w:pStyle w:val="Normal"/>
        <w:jc w:val="center"/>
        <w:rPr>
          <w:rFonts w:ascii="Times New Roman" w:hAnsi="Times New Roman"/>
          <w:b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t>2. Характеристика проблемы, на решение которой направлена подпрограмма</w:t>
      </w:r>
    </w:p>
    <w:p>
      <w:pPr>
        <w:pStyle w:val="Normal"/>
        <w:jc w:val="center"/>
        <w:rPr/>
      </w:pPr>
      <w:r>
        <w:rPr/>
      </w:r>
    </w:p>
    <w:p>
      <w:pPr>
        <w:pStyle w:val="Normal"/>
        <w:spacing w:lineRule="atLeast" w:line="263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D2D2D"/>
          <w:sz w:val="24"/>
        </w:rPr>
        <w:tab/>
        <w:t>Важнейшими вопросами, решение которых в соответствии с действующим законодательством и муниципальными правовыми актами Ильинского муниципального района на территории района возложено на органы муниципальной власти, являются организация содержания и обслуживания жилищного фонда и участие в финансировании содержания муниципального жилищного фонда. Для создания условий безопасного и комфортного проживания граждан значимость указанных вопросов заключается во влиянии, которое оказы</w:t>
      </w:r>
      <w:r>
        <w:rPr>
          <w:rFonts w:ascii="Times New Roman" w:hAnsi="Times New Roman"/>
          <w:sz w:val="24"/>
        </w:rPr>
        <w:t>вают жилищные условия граждан на общую атмосферу на территории поселения, уровень социальной напряженности.</w:t>
      </w:r>
    </w:p>
    <w:p>
      <w:pPr>
        <w:pStyle w:val="Normal"/>
        <w:spacing w:lineRule="atLeast" w:line="26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pacing w:val="2"/>
          <w:sz w:val="24"/>
        </w:rPr>
        <w:t>На территории сельских поселений Ильинского муниципального района расположено 96 дома (квартиры), находящихся в муниципальной собственности</w:t>
      </w:r>
      <w:r>
        <w:rPr>
          <w:rFonts w:ascii="Times New Roman" w:hAnsi="Times New Roman"/>
          <w:sz w:val="24"/>
        </w:rPr>
        <w:t>. Общая площадь жилищного фонда по состоянию на 01.01.2020 года составляет 4428,5 кв.м. Жилищный фонд на территории сельских поселений Ильинского муниципального района имеет срок эксплуатации более 25 лет.</w:t>
      </w:r>
    </w:p>
    <w:p>
      <w:pPr>
        <w:pStyle w:val="Normal"/>
        <w:spacing w:lineRule="atLeast" w:line="26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Помимо многолетней эксплуатации жилищного фонда причинами неудовлетворительного состояния является ненадлежащее содержание жилищного фонда на протяжении ряда лет.</w:t>
      </w:r>
    </w:p>
    <w:p>
      <w:pPr>
        <w:pStyle w:val="Normal"/>
        <w:spacing w:lineRule="atLeast" w:line="263"/>
        <w:rPr>
          <w:rFonts w:ascii="Times New Roman" w:hAnsi="Times New Roman"/>
          <w:color w:val="2D2D2D"/>
          <w:sz w:val="24"/>
        </w:rPr>
      </w:pPr>
      <w:r>
        <w:rPr>
          <w:rFonts w:ascii="Times New Roman" w:hAnsi="Times New Roman"/>
          <w:color w:val="2D2D2D"/>
          <w:sz w:val="24"/>
        </w:rPr>
        <w:tab/>
      </w:r>
      <w:r>
        <w:rPr>
          <w:rFonts w:ascii="Times New Roman" w:hAnsi="Times New Roman"/>
          <w:color w:val="000000"/>
          <w:sz w:val="24"/>
        </w:rPr>
        <w:t>Выполнение отдельных видов работ по капитальному ремонту домов (инженерных систем, крыш) недостаточно для доведения технического состояния жилищного фонда до нормативного уровня. Целесообразней проводить комплексный капитальный ремонт зданий.</w:t>
      </w:r>
    </w:p>
    <w:p>
      <w:pPr>
        <w:pStyle w:val="Normal"/>
        <w:spacing w:lineRule="atLeast" w:line="263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ab/>
        <w:t>В связи с высокой стоимостью капитального ремонта многоквартирных домов и ограниченной платежеспособностью населения требуется продолжить оказание государственной поддержки с привлечением средств собственников помещений в многоквартирных домах для проведения необходимых работ.</w:t>
      </w:r>
    </w:p>
    <w:p>
      <w:pPr>
        <w:pStyle w:val="Normal"/>
        <w:spacing w:lineRule="atLeast" w:line="263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ab/>
        <w:t>По-прежнему актуальным являются: улучшение технического состояния жилищного фонда, стабилизация рынка управления многоквартирными домами, развитие общественной инициативы в сфере управления жильем. Немаловажное значение имеет формирование позиции активного собственника жилья, осознающего свою ответственность за состояние жилья и владеющего знаниями, необходимыми для успешной реализации жилищных прав.</w:t>
      </w:r>
    </w:p>
    <w:p>
      <w:pPr>
        <w:pStyle w:val="Normal"/>
        <w:spacing w:lineRule="atLeast" w:line="263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ab/>
        <w:t>Необходимо следующие:</w:t>
      </w:r>
    </w:p>
    <w:p>
      <w:pPr>
        <w:pStyle w:val="Normal"/>
        <w:spacing w:lineRule="atLeast" w:line="263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ab/>
        <w:t>- заключение договоров социального найма жилых помещений муниципального жилищного фонда;</w:t>
      </w:r>
    </w:p>
    <w:p>
      <w:pPr>
        <w:pStyle w:val="Normal"/>
        <w:spacing w:lineRule="atLeast" w:line="263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ab/>
        <w:t>- начисление платы за наем жилых помещений, коммунальные услуги, содержание и ремонт жилого помещения;</w:t>
      </w:r>
    </w:p>
    <w:p>
      <w:pPr>
        <w:pStyle w:val="Normal"/>
        <w:spacing w:lineRule="atLeast" w:line="263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ab/>
        <w:t>- прием, учет, контроль денежных средств за наем жилых помещений, за коммунальные услуги, содержание и ремонт жилых помещений;</w:t>
      </w:r>
    </w:p>
    <w:p>
      <w:pPr>
        <w:pStyle w:val="Normal"/>
        <w:spacing w:lineRule="atLeast" w:line="263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ab/>
        <w:t>- обработка информации о полученных платежах за коммунальные услуги, содержание и ремонт жилого помещения;</w:t>
      </w:r>
    </w:p>
    <w:p>
      <w:pPr>
        <w:pStyle w:val="Normal"/>
        <w:spacing w:lineRule="atLeast" w:line="263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ab/>
        <w:t>Для поддержания на должном уровне муниципальных задач, связанных с обслуживанием населения, необходимо ведение и поддержание в актуальном состоянии муниципальной информационной базы данных (ГИС ЖКХ).</w:t>
      </w:r>
    </w:p>
    <w:p>
      <w:pPr>
        <w:pStyle w:val="Normal"/>
        <w:spacing w:lineRule="atLeast" w:line="263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ab/>
        <w:t>Оптимальным способом организации работы по приведению в нормативное состояние инженерных сетей, строительных конструкций и элементов многоквартирных домов является реализация подпрограммы содержания и обслуживания жилого фонда Ильинского муниципального района.</w:t>
      </w:r>
      <w:r>
        <w:br w:type="page"/>
      </w:r>
    </w:p>
    <w:p>
      <w:pPr>
        <w:pStyle w:val="Normal"/>
        <w:spacing w:lineRule="atLeast" w:line="263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3. Цели, целевые индикаторы и ожидаемые результаты реализации подпрограммы</w:t>
      </w:r>
    </w:p>
    <w:p>
      <w:pPr>
        <w:pStyle w:val="ConsPlusNormal1"/>
        <w:jc w:val="center"/>
        <w:rPr>
          <w:b/>
          <w:b/>
          <w:spacing w:val="2"/>
          <w:sz w:val="24"/>
        </w:rPr>
      </w:pPr>
      <w:r>
        <w:rPr>
          <w:b/>
          <w:spacing w:val="2"/>
          <w:sz w:val="24"/>
        </w:rPr>
        <w:t>3.1. Цели подпрограммы</w:t>
      </w:r>
    </w:p>
    <w:p>
      <w:pPr>
        <w:pStyle w:val="ConsPlusNormal1"/>
        <w:jc w:val="center"/>
        <w:rPr>
          <w:color w:val="2D2D2D"/>
          <w:spacing w:val="2"/>
        </w:rPr>
      </w:pPr>
      <w:r>
        <w:rPr>
          <w:color w:val="2D2D2D"/>
          <w:spacing w:val="2"/>
        </w:rPr>
      </w:r>
    </w:p>
    <w:p>
      <w:pPr>
        <w:pStyle w:val="Formattext1"/>
        <w:spacing w:before="280" w:after="280"/>
        <w:ind w:left="0" w:right="0" w:firstLine="567"/>
        <w:jc w:val="both"/>
        <w:rPr>
          <w:spacing w:val="2"/>
        </w:rPr>
      </w:pPr>
      <w:r>
        <w:rPr>
          <w:spacing w:val="2"/>
        </w:rPr>
        <w:t>Основными целями подпрограммы являются:</w:t>
      </w:r>
    </w:p>
    <w:p>
      <w:pPr>
        <w:pStyle w:val="Normal"/>
        <w:numPr>
          <w:ilvl w:val="0"/>
          <w:numId w:val="0"/>
        </w:numPr>
        <w:ind w:left="0" w:right="0" w:firstLine="567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создание нормальных условий для эксплуатации и сохранности жилищного фонда;</w:t>
      </w:r>
    </w:p>
    <w:p>
      <w:pPr>
        <w:pStyle w:val="Normal"/>
        <w:numPr>
          <w:ilvl w:val="0"/>
          <w:numId w:val="0"/>
        </w:numPr>
        <w:ind w:left="0" w:right="0" w:firstLine="567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совершенствование и повышение качества предоставляемых коммунальных услуг в целях улучшения жилищно-бытовых условий населения.</w:t>
      </w:r>
    </w:p>
    <w:p>
      <w:pPr>
        <w:pStyle w:val="Normal"/>
        <w:ind w:left="0" w:right="0"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Достижение цели и решение задач подпрограммы оценивается следующими целевыми индикаторами (показателями).</w:t>
      </w:r>
    </w:p>
    <w:p>
      <w:pPr>
        <w:pStyle w:val="Normal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onsPlusNormal1"/>
        <w:numPr>
          <w:ilvl w:val="0"/>
          <w:numId w:val="0"/>
        </w:numPr>
        <w:ind w:left="0" w:right="0" w:hanging="0"/>
        <w:jc w:val="center"/>
        <w:outlineLvl w:val="2"/>
        <w:rPr>
          <w:b/>
          <w:b/>
          <w:sz w:val="24"/>
        </w:rPr>
      </w:pPr>
      <w:r>
        <w:rPr>
          <w:b/>
          <w:sz w:val="24"/>
        </w:rPr>
        <w:t>3.2. Целевые индикаторы и ожидаемые результаты реализации подпрограммы</w:t>
      </w:r>
    </w:p>
    <w:p>
      <w:pPr>
        <w:pStyle w:val="Normal"/>
        <w:ind w:left="1863" w:right="0" w:hanging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2</w:t>
      </w:r>
    </w:p>
    <w:tbl>
      <w:tblPr>
        <w:tblStyle w:val="Style_4"/>
        <w:tblW w:w="9588" w:type="dxa"/>
        <w:jc w:val="left"/>
        <w:tblInd w:w="-92" w:type="dxa"/>
        <w:tblCellMar>
          <w:top w:w="0" w:type="dxa"/>
          <w:left w:w="7" w:type="dxa"/>
          <w:bottom w:w="0" w:type="dxa"/>
          <w:right w:w="26" w:type="dxa"/>
        </w:tblCellMar>
      </w:tblPr>
      <w:tblGrid>
        <w:gridCol w:w="3898"/>
        <w:gridCol w:w="1035"/>
        <w:gridCol w:w="1231"/>
        <w:gridCol w:w="1189"/>
        <w:gridCol w:w="1110"/>
        <w:gridCol w:w="1124"/>
      </w:tblGrid>
      <w:tr>
        <w:trPr>
          <w:trHeight w:val="1063" w:hRule="atLeast"/>
        </w:trPr>
        <w:tc>
          <w:tcPr>
            <w:tcW w:w="3898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72" w:right="0" w:hanging="0"/>
              <w:jc w:val="center"/>
              <w:rPr>
                <w:rFonts w:ascii="Times New Roman" w:hAnsi="Times New Roman"/>
                <w:b/>
                <w:b/>
                <w:spacing w:val="-2"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Наименование целевого индикатора</w:t>
            </w:r>
          </w:p>
          <w:p>
            <w:pPr>
              <w:pStyle w:val="Normal"/>
              <w:widowControl w:val="false"/>
              <w:spacing w:lineRule="auto" w:line="240" w:before="0" w:after="0"/>
              <w:ind w:left="72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(показателя)</w:t>
            </w:r>
          </w:p>
        </w:tc>
        <w:tc>
          <w:tcPr>
            <w:tcW w:w="1035" w:type="dxa"/>
            <w:tcBorders>
              <w:top w:val="single" w:sz="6" w:space="0" w:color="00000A"/>
              <w:left w:val="single" w:sz="6" w:space="0" w:color="00000A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7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Ед. изм.</w:t>
            </w:r>
          </w:p>
        </w:tc>
        <w:tc>
          <w:tcPr>
            <w:tcW w:w="1231" w:type="dxa"/>
            <w:tcBorders>
              <w:top w:val="single" w:sz="6" w:space="0" w:color="00000A"/>
              <w:left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7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ind w:left="7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год</w:t>
            </w:r>
          </w:p>
        </w:tc>
        <w:tc>
          <w:tcPr>
            <w:tcW w:w="1189" w:type="dxa"/>
            <w:tcBorders>
              <w:top w:val="single" w:sz="6" w:space="0" w:color="00000A"/>
              <w:lef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7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ind w:left="7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год</w:t>
            </w:r>
          </w:p>
        </w:tc>
        <w:tc>
          <w:tcPr>
            <w:tcW w:w="1110" w:type="dxa"/>
            <w:tcBorders>
              <w:top w:val="single" w:sz="6" w:space="0" w:color="00000A"/>
              <w:left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7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ind w:left="7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год</w:t>
            </w:r>
          </w:p>
        </w:tc>
        <w:tc>
          <w:tcPr>
            <w:tcW w:w="1124" w:type="dxa"/>
            <w:tcBorders>
              <w:top w:val="single" w:sz="6" w:space="0" w:color="00000A"/>
              <w:left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7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2025</w:t>
            </w:r>
          </w:p>
          <w:p>
            <w:pPr>
              <w:pStyle w:val="Normal"/>
              <w:widowControl w:val="false"/>
              <w:spacing w:lineRule="auto" w:line="240" w:before="0" w:after="0"/>
              <w:ind w:left="7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год</w:t>
            </w:r>
          </w:p>
        </w:tc>
      </w:tr>
      <w:tr>
        <w:trPr>
          <w:trHeight w:val="568" w:hRule="exact"/>
        </w:trPr>
        <w:tc>
          <w:tcPr>
            <w:tcW w:w="38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Оплата коммунальных услуг пустующих муниципальных квартир</w:t>
            </w:r>
          </w:p>
        </w:tc>
        <w:tc>
          <w:tcPr>
            <w:tcW w:w="10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квартир</w:t>
            </w:r>
          </w:p>
        </w:tc>
        <w:tc>
          <w:tcPr>
            <w:tcW w:w="12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0</w:t>
            </w:r>
          </w:p>
        </w:tc>
        <w:tc>
          <w:tcPr>
            <w:tcW w:w="11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0</w:t>
            </w:r>
          </w:p>
        </w:tc>
        <w:tc>
          <w:tcPr>
            <w:tcW w:w="11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0</w:t>
            </w:r>
          </w:p>
        </w:tc>
        <w:tc>
          <w:tcPr>
            <w:tcW w:w="11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0</w:t>
            </w:r>
          </w:p>
        </w:tc>
      </w:tr>
      <w:tr>
        <w:trPr>
          <w:trHeight w:val="1035" w:hRule="exact"/>
        </w:trPr>
        <w:tc>
          <w:tcPr>
            <w:tcW w:w="38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Взносы в фонд Регионального оператора Ивановской области на капитальный ремонт муниципального жилищного фонда в многоквартирных домах</w:t>
            </w:r>
          </w:p>
        </w:tc>
        <w:tc>
          <w:tcPr>
            <w:tcW w:w="10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квартир</w:t>
            </w:r>
          </w:p>
        </w:tc>
        <w:tc>
          <w:tcPr>
            <w:tcW w:w="12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58</w:t>
            </w:r>
          </w:p>
        </w:tc>
        <w:tc>
          <w:tcPr>
            <w:tcW w:w="11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58</w:t>
            </w:r>
          </w:p>
        </w:tc>
        <w:tc>
          <w:tcPr>
            <w:tcW w:w="11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58</w:t>
            </w:r>
          </w:p>
        </w:tc>
        <w:tc>
          <w:tcPr>
            <w:tcW w:w="11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58</w:t>
            </w:r>
          </w:p>
        </w:tc>
      </w:tr>
      <w:tr>
        <w:trPr>
          <w:trHeight w:val="568" w:hRule="exact"/>
        </w:trPr>
        <w:tc>
          <w:tcPr>
            <w:tcW w:w="38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Ремонт и содержание муниципального жилищного фонда</w:t>
            </w:r>
          </w:p>
        </w:tc>
        <w:tc>
          <w:tcPr>
            <w:tcW w:w="10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квартир</w:t>
            </w:r>
          </w:p>
        </w:tc>
        <w:tc>
          <w:tcPr>
            <w:tcW w:w="12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1</w:t>
            </w:r>
          </w:p>
        </w:tc>
        <w:tc>
          <w:tcPr>
            <w:tcW w:w="11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1</w:t>
            </w:r>
          </w:p>
        </w:tc>
        <w:tc>
          <w:tcPr>
            <w:tcW w:w="11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1</w:t>
            </w:r>
          </w:p>
        </w:tc>
        <w:tc>
          <w:tcPr>
            <w:tcW w:w="11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1</w:t>
            </w:r>
          </w:p>
        </w:tc>
      </w:tr>
    </w:tbl>
    <w:p>
      <w:pPr>
        <w:pStyle w:val="Normal"/>
        <w:rPr>
          <w:sz w:val="2"/>
        </w:rPr>
      </w:pPr>
      <w:r>
        <w:rPr>
          <w:sz w:val="2"/>
        </w:rPr>
      </w:r>
    </w:p>
    <w:p>
      <w:pPr>
        <w:pStyle w:val="Formattext1"/>
        <w:spacing w:before="0" w:after="0"/>
        <w:jc w:val="center"/>
        <w:rPr>
          <w:b/>
          <w:b/>
          <w:spacing w:val="2"/>
        </w:rPr>
      </w:pPr>
      <w:r>
        <w:rPr/>
      </w:r>
    </w:p>
    <w:p>
      <w:pPr>
        <w:pStyle w:val="Formattext1"/>
        <w:spacing w:before="0" w:after="0"/>
        <w:jc w:val="center"/>
        <w:rPr>
          <w:b/>
          <w:b/>
          <w:spacing w:val="2"/>
        </w:rPr>
      </w:pPr>
      <w:r>
        <w:rPr>
          <w:b/>
          <w:spacing w:val="2"/>
        </w:rPr>
        <w:t>3.3. Задачи подпрограммы</w:t>
      </w:r>
    </w:p>
    <w:p>
      <w:pPr>
        <w:pStyle w:val="Formattext1"/>
        <w:spacing w:before="0" w:after="0"/>
        <w:ind w:left="10" w:right="0" w:hanging="10"/>
        <w:jc w:val="center"/>
        <w:rPr>
          <w:spacing w:val="2"/>
        </w:rPr>
      </w:pPr>
      <w:r>
        <w:rPr>
          <w:spacing w:val="2"/>
        </w:rPr>
      </w:r>
    </w:p>
    <w:p>
      <w:pPr>
        <w:pStyle w:val="Formattext1"/>
        <w:spacing w:before="0" w:after="0"/>
        <w:ind w:left="0" w:right="0" w:firstLine="567"/>
        <w:jc w:val="both"/>
        <w:rPr>
          <w:rFonts w:ascii="Arial" w:hAnsi="Arial"/>
          <w:color w:val="2D2D2D"/>
          <w:spacing w:val="2"/>
          <w:sz w:val="18"/>
        </w:rPr>
      </w:pPr>
      <w:r>
        <w:rPr>
          <w:spacing w:val="2"/>
        </w:rPr>
        <w:t>Для достижения поставленных целей подпрограммы необходимо решение следующих задач:</w:t>
      </w:r>
    </w:p>
    <w:p>
      <w:pPr>
        <w:pStyle w:val="Formattext1"/>
        <w:spacing w:before="0" w:after="0"/>
        <w:ind w:left="0" w:right="0" w:firstLine="567"/>
        <w:jc w:val="both"/>
        <w:rPr>
          <w:color w:val="000000"/>
        </w:rPr>
      </w:pPr>
      <w:r>
        <w:rPr>
          <w:rFonts w:ascii="Arial" w:hAnsi="Arial"/>
          <w:color w:val="000000"/>
          <w:spacing w:val="2"/>
        </w:rPr>
        <w:t xml:space="preserve">- </w:t>
      </w:r>
      <w:r>
        <w:rPr>
          <w:color w:val="000000"/>
          <w:spacing w:val="2"/>
        </w:rPr>
        <w:t>создание комфортных и безопасных условий проживания в многоквартирных домах.</w:t>
      </w:r>
    </w:p>
    <w:p>
      <w:pPr>
        <w:pStyle w:val="Formattext1"/>
        <w:spacing w:before="0" w:after="0"/>
        <w:ind w:left="0" w:right="0" w:firstLine="567"/>
        <w:jc w:val="both"/>
        <w:rPr>
          <w:color w:val="000000"/>
        </w:rPr>
      </w:pPr>
      <w:r>
        <w:rPr>
          <w:color w:val="000000"/>
          <w:spacing w:val="2"/>
        </w:rPr>
        <w:t>Задачами программы являются:</w:t>
      </w:r>
    </w:p>
    <w:p>
      <w:pPr>
        <w:pStyle w:val="Formattext1"/>
        <w:spacing w:before="0" w:after="0"/>
        <w:ind w:left="0" w:right="0" w:firstLine="567"/>
        <w:jc w:val="both"/>
        <w:rPr/>
      </w:pPr>
      <w:r>
        <w:rPr>
          <w:color w:val="000000"/>
          <w:spacing w:val="2"/>
        </w:rPr>
        <w:t>- реализация механизма  работ по капитальному ремонту многоквартирных домов, проводимому с привлечением средств собственников помещений в многоквартирном доме; </w:t>
      </w:r>
    </w:p>
    <w:p>
      <w:pPr>
        <w:pStyle w:val="Formattext1"/>
        <w:spacing w:before="0" w:after="0"/>
        <w:ind w:left="0" w:right="0" w:firstLine="567"/>
        <w:jc w:val="both"/>
        <w:rPr/>
      </w:pPr>
      <w:r>
        <w:rPr>
          <w:color w:val="000000"/>
          <w:spacing w:val="2"/>
        </w:rPr>
        <w:t>- обеспечение выполнения работ по капитальному ремонту общего имущества многоквартирных домов; </w:t>
      </w:r>
    </w:p>
    <w:p>
      <w:pPr>
        <w:pStyle w:val="Formattext1"/>
        <w:spacing w:before="0" w:after="0"/>
        <w:ind w:left="0" w:right="0" w:firstLine="567"/>
        <w:jc w:val="both"/>
        <w:rPr/>
      </w:pPr>
      <w:r>
        <w:rPr>
          <w:color w:val="000000"/>
          <w:spacing w:val="2"/>
        </w:rPr>
        <w:t>- оперативное реагирование на аварийные ситуации в сфере ЖКХ. Обеспечение комфортных и безопасных условий проживания - содержание дома в надлежащем порядке, проведение своевременного и качественного ремонта общего имущества. </w:t>
      </w:r>
    </w:p>
    <w:p>
      <w:pPr>
        <w:pStyle w:val="Formattext1"/>
        <w:spacing w:lineRule="atLeast" w:line="315" w:before="0" w:after="0"/>
        <w:ind w:left="0" w:right="0" w:firstLine="567"/>
        <w:jc w:val="both"/>
        <w:rPr>
          <w:color w:val="2D2D2D"/>
          <w:spacing w:val="2"/>
        </w:rPr>
      </w:pPr>
      <w:r>
        <w:rPr>
          <w:color w:val="000000"/>
          <w:spacing w:val="2"/>
        </w:rPr>
        <w:tab/>
        <w:t>Реализация программы позволит снизить физический износ зданий, обеспечить сохранность и надлежащее содержание общего имущества многоквартирных домов в соответствии с санитарными и техническими правилами и нормами, снизить риск возникновения аварийных ситуаций и расходы собственников помещений. Надежность работы инженерно-технических систем позволит сэкономить средства собственников жилых помещений по оплате коммунальных услуг. </w:t>
      </w:r>
    </w:p>
    <w:p>
      <w:pPr>
        <w:pStyle w:val="Formattext1"/>
        <w:spacing w:lineRule="atLeast" w:line="315" w:before="0" w:after="0"/>
        <w:ind w:left="0" w:right="0" w:firstLine="567"/>
        <w:jc w:val="both"/>
        <w:rPr/>
      </w:pPr>
      <w:r>
        <w:rPr>
          <w:color w:val="000000"/>
          <w:spacing w:val="2"/>
        </w:rPr>
        <w:tab/>
        <w:t>При выполнении намеченных мероприятий предполагается достичь: </w:t>
      </w:r>
    </w:p>
    <w:p>
      <w:pPr>
        <w:pStyle w:val="Formattext1"/>
        <w:spacing w:lineRule="atLeast" w:line="315" w:before="0" w:after="0"/>
        <w:ind w:left="0" w:right="0" w:firstLine="567"/>
        <w:jc w:val="both"/>
        <w:rPr>
          <w:color w:val="000000"/>
        </w:rPr>
      </w:pPr>
      <w:r>
        <w:rPr>
          <w:color w:val="000000"/>
          <w:spacing w:val="2"/>
        </w:rPr>
        <w:t>- улучшение состояния жилищного фонда</w:t>
      </w:r>
    </w:p>
    <w:p>
      <w:pPr>
        <w:sectPr>
          <w:type w:val="nextPage"/>
          <w:pgSz w:w="11906" w:h="16838"/>
          <w:pgMar w:left="1701" w:right="567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  <w:pStyle w:val="Formattext1"/>
        <w:spacing w:lineRule="atLeast" w:line="315" w:before="0" w:after="0"/>
        <w:ind w:left="0" w:right="0" w:firstLine="567"/>
        <w:jc w:val="both"/>
        <w:rPr>
          <w:color w:val="000000"/>
        </w:rPr>
      </w:pPr>
      <w:r>
        <w:rPr>
          <w:color w:val="000000"/>
          <w:spacing w:val="2"/>
        </w:rPr>
        <w:t>- повышение комфортности проживания граждан в жилищном фонде.</w:t>
      </w:r>
    </w:p>
    <w:p>
      <w:pPr>
        <w:pStyle w:val="Normal"/>
        <w:tabs>
          <w:tab w:val="clear" w:pos="708"/>
          <w:tab w:val="left" w:pos="0" w:leader="none"/>
        </w:tabs>
        <w:ind w:left="59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4.Перечень мероприятий подпрограммы</w:t>
      </w:r>
    </w:p>
    <w:p>
      <w:pPr>
        <w:pStyle w:val="Normal"/>
        <w:tabs>
          <w:tab w:val="clear" w:pos="708"/>
          <w:tab w:val="left" w:pos="0" w:leader="none"/>
        </w:tabs>
        <w:ind w:left="360" w:right="0" w:hang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tabs>
          <w:tab w:val="clear" w:pos="708"/>
          <w:tab w:val="left" w:pos="0" w:leader="none"/>
        </w:tabs>
        <w:ind w:left="360" w:right="0" w:hanging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tabs>
          <w:tab w:val="clear" w:pos="708"/>
          <w:tab w:val="left" w:pos="0" w:leader="none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3</w:t>
      </w:r>
    </w:p>
    <w:tbl>
      <w:tblPr>
        <w:tblStyle w:val="Style_4"/>
        <w:tblW w:w="14699" w:type="dxa"/>
        <w:jc w:val="left"/>
        <w:tblInd w:w="0" w:type="dxa"/>
        <w:tblCellMar>
          <w:top w:w="0" w:type="dxa"/>
          <w:left w:w="83" w:type="dxa"/>
          <w:bottom w:w="0" w:type="dxa"/>
          <w:right w:w="108" w:type="dxa"/>
        </w:tblCellMar>
      </w:tblPr>
      <w:tblGrid>
        <w:gridCol w:w="676"/>
        <w:gridCol w:w="4534"/>
        <w:gridCol w:w="1844"/>
        <w:gridCol w:w="2266"/>
        <w:gridCol w:w="2402"/>
        <w:gridCol w:w="2976"/>
      </w:tblGrid>
      <w:tr>
        <w:trPr>
          <w:trHeight w:val="848" w:hRule="atLeast"/>
        </w:trPr>
        <w:tc>
          <w:tcPr>
            <w:tcW w:w="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spacing w:val="0"/>
                <w:sz w:val="24"/>
              </w:rPr>
              <w:t>п/п</w:t>
            </w:r>
          </w:p>
        </w:tc>
        <w:tc>
          <w:tcPr>
            <w:tcW w:w="4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Наименование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мероприятия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Сроки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исполнения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(годы)</w:t>
            </w:r>
          </w:p>
        </w:tc>
        <w:tc>
          <w:tcPr>
            <w:tcW w:w="2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Объем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финансирования,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тыс. руб.</w:t>
            </w:r>
          </w:p>
        </w:tc>
        <w:tc>
          <w:tcPr>
            <w:tcW w:w="2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Ответственные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исполнители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Ожидаемые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результаты</w:t>
            </w:r>
          </w:p>
        </w:tc>
      </w:tr>
      <w:tr>
        <w:trPr>
          <w:trHeight w:val="60" w:hRule="atLeast"/>
        </w:trPr>
        <w:tc>
          <w:tcPr>
            <w:tcW w:w="14698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0"/>
                <w:sz w:val="24"/>
              </w:rPr>
              <w:t>Раздел: «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Содержание муниципального жилищного фонда Ильинского городского поселения</w:t>
            </w:r>
            <w:r>
              <w:rPr>
                <w:rFonts w:ascii="Times New Roman" w:hAnsi="Times New Roman"/>
                <w:b/>
                <w:i/>
                <w:spacing w:val="0"/>
                <w:sz w:val="24"/>
              </w:rPr>
              <w:t>»</w:t>
            </w:r>
          </w:p>
        </w:tc>
      </w:tr>
      <w:tr>
        <w:trPr/>
        <w:tc>
          <w:tcPr>
            <w:tcW w:w="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1.</w:t>
            </w:r>
          </w:p>
        </w:tc>
        <w:tc>
          <w:tcPr>
            <w:tcW w:w="4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Взносы в фонд Регионального оператора Ивановской области на капитальный ремонт муниципального жилищного фонда в многоквартирных домах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2022 г.</w:t>
            </w:r>
          </w:p>
        </w:tc>
        <w:tc>
          <w:tcPr>
            <w:tcW w:w="2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80,0</w:t>
            </w:r>
          </w:p>
        </w:tc>
        <w:tc>
          <w:tcPr>
            <w:tcW w:w="2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Ильинского муниципального района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highlight w:val="white"/>
              </w:rPr>
            </w:pPr>
            <w:bookmarkStart w:id="0" w:name="__DdeLink__1756_3926731590"/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создание нормальных условий для эксплуатации и сохранности жилищного</w:t>
            </w:r>
            <w:bookmarkEnd w:id="0"/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 xml:space="preserve"> фонда</w:t>
            </w:r>
          </w:p>
        </w:tc>
      </w:tr>
      <w:tr>
        <w:trPr/>
        <w:tc>
          <w:tcPr>
            <w:tcW w:w="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2.</w:t>
            </w:r>
          </w:p>
        </w:tc>
        <w:tc>
          <w:tcPr>
            <w:tcW w:w="4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 xml:space="preserve">Ремонт и содержание муниципального жилищного фонда </w:t>
            </w:r>
            <w:r>
              <w:rPr>
                <w:rFonts w:ascii="Times New Roman" w:hAnsi="Times New Roman"/>
                <w:i/>
                <w:spacing w:val="0"/>
                <w:sz w:val="24"/>
              </w:rPr>
              <w:t>(с. Аньково)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2022 г.</w:t>
            </w:r>
          </w:p>
        </w:tc>
        <w:tc>
          <w:tcPr>
            <w:tcW w:w="2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422,1</w:t>
            </w:r>
          </w:p>
        </w:tc>
        <w:tc>
          <w:tcPr>
            <w:tcW w:w="2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Ильинского муниципального района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создание нормальных условий для эксплуатации и сохранности жилищного фонда</w:t>
            </w:r>
          </w:p>
        </w:tc>
      </w:tr>
      <w:tr>
        <w:trPr/>
        <w:tc>
          <w:tcPr>
            <w:tcW w:w="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3.</w:t>
            </w:r>
          </w:p>
        </w:tc>
        <w:tc>
          <w:tcPr>
            <w:tcW w:w="4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Приобретение жилого помещения в муниципальную собственность ИМР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2022 г.</w:t>
            </w:r>
          </w:p>
        </w:tc>
        <w:tc>
          <w:tcPr>
            <w:tcW w:w="2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790,2021</w:t>
            </w:r>
          </w:p>
        </w:tc>
        <w:tc>
          <w:tcPr>
            <w:tcW w:w="2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Ильинского муниципального района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highlight w:val="white"/>
              </w:rPr>
            </w:r>
          </w:p>
        </w:tc>
      </w:tr>
      <w:tr>
        <w:trPr>
          <w:trHeight w:val="159" w:hRule="atLeast"/>
        </w:trPr>
        <w:tc>
          <w:tcPr>
            <w:tcW w:w="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2022</w:t>
            </w:r>
          </w:p>
        </w:tc>
        <w:tc>
          <w:tcPr>
            <w:tcW w:w="2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1292,3021</w:t>
            </w:r>
          </w:p>
        </w:tc>
        <w:tc>
          <w:tcPr>
            <w:tcW w:w="2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59" w:hRule="atLeast"/>
        </w:trPr>
        <w:tc>
          <w:tcPr>
            <w:tcW w:w="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1.</w:t>
            </w:r>
          </w:p>
        </w:tc>
        <w:tc>
          <w:tcPr>
            <w:tcW w:w="4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Взносы в фонд Регионального оператора Ивановской области на капитальный ремонт муниципального жилищного фонда в многоквартирных домах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2023 г.</w:t>
            </w:r>
          </w:p>
        </w:tc>
        <w:tc>
          <w:tcPr>
            <w:tcW w:w="2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80,0</w:t>
            </w:r>
          </w:p>
        </w:tc>
        <w:tc>
          <w:tcPr>
            <w:tcW w:w="2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Ильинского муниципального района</w:t>
            </w:r>
          </w:p>
        </w:tc>
        <w:tc>
          <w:tcPr>
            <w:tcW w:w="29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создание нормальных условий для эксплуатации и сохранности жилищного фонда</w:t>
            </w:r>
          </w:p>
        </w:tc>
      </w:tr>
      <w:tr>
        <w:trPr>
          <w:trHeight w:val="159" w:hRule="atLeast"/>
        </w:trPr>
        <w:tc>
          <w:tcPr>
            <w:tcW w:w="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2.</w:t>
            </w:r>
          </w:p>
        </w:tc>
        <w:tc>
          <w:tcPr>
            <w:tcW w:w="4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Ремонт и содержание муниципального жилищного фонда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2023 г.</w:t>
            </w:r>
          </w:p>
        </w:tc>
        <w:tc>
          <w:tcPr>
            <w:tcW w:w="2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500,0</w:t>
            </w:r>
          </w:p>
        </w:tc>
        <w:tc>
          <w:tcPr>
            <w:tcW w:w="2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Ильинского муниципального района</w:t>
            </w:r>
          </w:p>
        </w:tc>
        <w:tc>
          <w:tcPr>
            <w:tcW w:w="29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2023</w:t>
            </w:r>
          </w:p>
        </w:tc>
        <w:tc>
          <w:tcPr>
            <w:tcW w:w="2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580,0</w:t>
            </w:r>
          </w:p>
        </w:tc>
        <w:tc>
          <w:tcPr>
            <w:tcW w:w="2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/>
        <w:tc>
          <w:tcPr>
            <w:tcW w:w="6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1.</w:t>
            </w:r>
          </w:p>
        </w:tc>
        <w:tc>
          <w:tcPr>
            <w:tcW w:w="45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Взносы в фонд Регионального оператора Ивановской области на капитальный ремонт муниципального жилищного фонда в многоквартирных домах</w:t>
            </w:r>
          </w:p>
        </w:tc>
        <w:tc>
          <w:tcPr>
            <w:tcW w:w="18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2024 г.</w:t>
            </w:r>
          </w:p>
        </w:tc>
        <w:tc>
          <w:tcPr>
            <w:tcW w:w="226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80,0</w:t>
            </w:r>
          </w:p>
        </w:tc>
        <w:tc>
          <w:tcPr>
            <w:tcW w:w="24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Ильинского муниципального района</w:t>
            </w:r>
          </w:p>
        </w:tc>
        <w:tc>
          <w:tcPr>
            <w:tcW w:w="2976" w:type="dxa"/>
            <w:vMerge w:val="restar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создание нормальных условий для эксплуатации и сохранности жилищного фонда</w:t>
            </w:r>
          </w:p>
        </w:tc>
      </w:tr>
      <w:tr>
        <w:trPr/>
        <w:tc>
          <w:tcPr>
            <w:tcW w:w="6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2.</w:t>
            </w:r>
          </w:p>
        </w:tc>
        <w:tc>
          <w:tcPr>
            <w:tcW w:w="45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Ремонт и содержание муниципального жилищного фонда</w:t>
            </w:r>
          </w:p>
        </w:tc>
        <w:tc>
          <w:tcPr>
            <w:tcW w:w="18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2024 г.</w:t>
            </w:r>
          </w:p>
        </w:tc>
        <w:tc>
          <w:tcPr>
            <w:tcW w:w="226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500,0</w:t>
            </w:r>
          </w:p>
        </w:tc>
        <w:tc>
          <w:tcPr>
            <w:tcW w:w="24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Ильинского муниципального района</w:t>
            </w:r>
          </w:p>
        </w:tc>
        <w:tc>
          <w:tcPr>
            <w:tcW w:w="2976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6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5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8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2024</w:t>
            </w:r>
          </w:p>
        </w:tc>
        <w:tc>
          <w:tcPr>
            <w:tcW w:w="226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580,0</w:t>
            </w:r>
          </w:p>
        </w:tc>
        <w:tc>
          <w:tcPr>
            <w:tcW w:w="24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9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1.</w:t>
            </w:r>
          </w:p>
        </w:tc>
        <w:tc>
          <w:tcPr>
            <w:tcW w:w="4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Взносы в фонд Регионального оператора Ивановской области на капитальный ремонт муниципального жилищного фонда в многоквартирных домах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2025 г.</w:t>
            </w:r>
          </w:p>
        </w:tc>
        <w:tc>
          <w:tcPr>
            <w:tcW w:w="2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80,0</w:t>
            </w:r>
          </w:p>
        </w:tc>
        <w:tc>
          <w:tcPr>
            <w:tcW w:w="2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Ильинского муниципального района</w:t>
            </w:r>
          </w:p>
        </w:tc>
        <w:tc>
          <w:tcPr>
            <w:tcW w:w="29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создание нормальных условий для эксплуатации и сохранности жилищного фонда</w:t>
            </w:r>
          </w:p>
        </w:tc>
      </w:tr>
      <w:tr>
        <w:trPr/>
        <w:tc>
          <w:tcPr>
            <w:tcW w:w="6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2.</w:t>
            </w:r>
          </w:p>
        </w:tc>
        <w:tc>
          <w:tcPr>
            <w:tcW w:w="45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Ремонт и содержание муниципального жилищного фонда</w:t>
            </w:r>
          </w:p>
        </w:tc>
        <w:tc>
          <w:tcPr>
            <w:tcW w:w="18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2025 г.</w:t>
            </w:r>
          </w:p>
        </w:tc>
        <w:tc>
          <w:tcPr>
            <w:tcW w:w="226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500,0</w:t>
            </w:r>
          </w:p>
        </w:tc>
        <w:tc>
          <w:tcPr>
            <w:tcW w:w="24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Ильинского муниципального района</w:t>
            </w:r>
          </w:p>
        </w:tc>
        <w:tc>
          <w:tcPr>
            <w:tcW w:w="29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6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45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18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2025 г.</w:t>
            </w:r>
          </w:p>
        </w:tc>
        <w:tc>
          <w:tcPr>
            <w:tcW w:w="226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580,0</w:t>
            </w:r>
          </w:p>
        </w:tc>
        <w:tc>
          <w:tcPr>
            <w:tcW w:w="24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9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highlight w:val="white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2022–2025 г.г.</w:t>
            </w:r>
          </w:p>
        </w:tc>
        <w:tc>
          <w:tcPr>
            <w:tcW w:w="2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sz w:val="24"/>
              </w:rPr>
              <w:t>3032,3021</w:t>
            </w:r>
          </w:p>
        </w:tc>
        <w:tc>
          <w:tcPr>
            <w:tcW w:w="2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sectPr>
          <w:type w:val="nextPage"/>
          <w:pgSz w:orient="landscape" w:w="16838" w:h="11906"/>
          <w:pgMar w:left="709" w:right="1134" w:header="0" w:top="1418" w:footer="0" w:bottom="1135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ConsPlusNormal1"/>
        <w:jc w:val="center"/>
        <w:rPr>
          <w:b/>
          <w:b/>
          <w:sz w:val="24"/>
        </w:rPr>
      </w:pPr>
      <w:r>
        <w:rPr>
          <w:b/>
          <w:sz w:val="24"/>
        </w:rPr>
        <w:t>5. Ресурсное обеспечение подпрограммы</w:t>
      </w:r>
    </w:p>
    <w:p>
      <w:pPr>
        <w:pStyle w:val="Normal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4</w:t>
      </w:r>
    </w:p>
    <w:tbl>
      <w:tblPr>
        <w:tblStyle w:val="Style_4"/>
        <w:tblW w:w="9492" w:type="dxa"/>
        <w:jc w:val="left"/>
        <w:tblInd w:w="0" w:type="dxa"/>
        <w:tblCellMar>
          <w:top w:w="0" w:type="dxa"/>
          <w:left w:w="88" w:type="dxa"/>
          <w:bottom w:w="0" w:type="dxa"/>
          <w:right w:w="108" w:type="dxa"/>
        </w:tblCellMar>
      </w:tblPr>
      <w:tblGrid>
        <w:gridCol w:w="3132"/>
        <w:gridCol w:w="1515"/>
        <w:gridCol w:w="1649"/>
        <w:gridCol w:w="1606"/>
        <w:gridCol w:w="1590"/>
      </w:tblGrid>
      <w:tr>
        <w:trPr>
          <w:trHeight w:val="478" w:hRule="atLeast"/>
        </w:trPr>
        <w:tc>
          <w:tcPr>
            <w:tcW w:w="3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0"/>
                <w:sz w:val="24"/>
              </w:rPr>
              <w:t>Направления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0"/>
                <w:sz w:val="24"/>
              </w:rPr>
              <w:t>финансирования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0"/>
                <w:sz w:val="24"/>
              </w:rPr>
              <w:t>и источники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год</w:t>
            </w:r>
          </w:p>
        </w:tc>
        <w:tc>
          <w:tcPr>
            <w:tcW w:w="164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год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год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2025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год</w:t>
            </w:r>
          </w:p>
        </w:tc>
      </w:tr>
      <w:tr>
        <w:trPr/>
        <w:tc>
          <w:tcPr>
            <w:tcW w:w="3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0"/>
                <w:sz w:val="24"/>
              </w:rPr>
              <w:t>ВСЕГО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15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1292,3021</w:t>
            </w:r>
          </w:p>
        </w:tc>
        <w:tc>
          <w:tcPr>
            <w:tcW w:w="164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0"/>
                <w:sz w:val="24"/>
              </w:rPr>
              <w:t>580,0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0"/>
                <w:sz w:val="24"/>
              </w:rPr>
              <w:t>580,0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0"/>
                <w:sz w:val="24"/>
              </w:rPr>
              <w:t>580,0</w:t>
            </w:r>
          </w:p>
        </w:tc>
      </w:tr>
      <w:tr>
        <w:trPr/>
        <w:tc>
          <w:tcPr>
            <w:tcW w:w="9492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i/>
                <w:i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6"/>
                <w:sz w:val="24"/>
              </w:rPr>
              <w:t>«Содержание муниципального жилищного фонда Ильинского муниципального района»</w:t>
            </w:r>
          </w:p>
        </w:tc>
      </w:tr>
      <w:tr>
        <w:trPr>
          <w:trHeight w:val="605" w:hRule="atLeast"/>
        </w:trPr>
        <w:tc>
          <w:tcPr>
            <w:tcW w:w="3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pacing w:val="0"/>
                <w:sz w:val="24"/>
              </w:rPr>
              <w:t>местный бюджет</w:t>
            </w:r>
          </w:p>
        </w:tc>
        <w:tc>
          <w:tcPr>
            <w:tcW w:w="15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  <w:sz w:val="24"/>
              </w:rPr>
            </w:pPr>
            <w:r>
              <w:rPr>
                <w:rFonts w:ascii="Times New Roman" w:hAnsi="Times New Roman"/>
                <w:b w:val="false"/>
                <w:spacing w:val="0"/>
                <w:sz w:val="24"/>
              </w:rPr>
              <w:t>1292,3021</w:t>
            </w:r>
          </w:p>
        </w:tc>
        <w:tc>
          <w:tcPr>
            <w:tcW w:w="164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pacing w:val="0"/>
                <w:sz w:val="24"/>
              </w:rPr>
              <w:t>580,0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pacing w:val="0"/>
                <w:sz w:val="24"/>
              </w:rPr>
              <w:t>580,0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pacing w:val="0"/>
                <w:sz w:val="24"/>
              </w:rPr>
              <w:t>580,0</w:t>
            </w:r>
          </w:p>
        </w:tc>
      </w:tr>
      <w:tr>
        <w:trPr>
          <w:trHeight w:val="617" w:hRule="atLeast"/>
        </w:trPr>
        <w:tc>
          <w:tcPr>
            <w:tcW w:w="3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pacing w:val="0"/>
                <w:sz w:val="24"/>
              </w:rPr>
              <w:t>областной бюджет</w:t>
            </w:r>
          </w:p>
        </w:tc>
        <w:tc>
          <w:tcPr>
            <w:tcW w:w="1515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pacing w:val="0"/>
                <w:sz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pacing w:val="0"/>
                <w:sz w:val="24"/>
              </w:rPr>
              <w:t>0,0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pacing w:val="0"/>
                <w:sz w:val="24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pacing w:val="0"/>
                <w:sz w:val="24"/>
              </w:rPr>
              <w:t>0,0</w:t>
            </w:r>
          </w:p>
        </w:tc>
      </w:tr>
    </w:tbl>
    <w:p>
      <w:pPr>
        <w:pStyle w:val="Normal"/>
        <w:jc w:val="center"/>
        <w:rPr>
          <w:sz w:val="24"/>
        </w:rPr>
      </w:pPr>
      <w:r>
        <w:rPr>
          <w:sz w:val="24"/>
        </w:rPr>
      </w:r>
      <w:r>
        <w:br w:type="page"/>
      </w:r>
    </w:p>
    <w:p>
      <w:pPr>
        <w:pStyle w:val="Normal"/>
        <w:ind w:left="5670" w:right="0" w:hanging="0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Приложение 2</w:t>
      </w:r>
    </w:p>
    <w:p>
      <w:pPr>
        <w:pStyle w:val="Normal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к Муниципальной программе «Обеспечение населения </w:t>
      </w:r>
    </w:p>
    <w:p>
      <w:pPr>
        <w:pStyle w:val="Normal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Ильинского муниципального района объектами  инженерной </w:t>
      </w:r>
    </w:p>
    <w:p>
      <w:pPr>
        <w:pStyle w:val="Normal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инфраструктуры и услугами жилищно-коммунального хозяйства»</w:t>
      </w:r>
    </w:p>
    <w:p>
      <w:pPr>
        <w:pStyle w:val="Normal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ПОДПРОГРАММА </w:t>
      </w:r>
    </w:p>
    <w:p>
      <w:pPr>
        <w:pStyle w:val="Normal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  <w:spacing w:val="2"/>
          <w:sz w:val="24"/>
        </w:rPr>
        <w:t>Создание условий для обеспечения населения Ильинского муниципального района услугами холодного водоснабжения и водоотведения»</w:t>
      </w:r>
    </w:p>
    <w:p>
      <w:pPr>
        <w:pStyle w:val="Normal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 Паспорт подпрограммы </w:t>
      </w:r>
    </w:p>
    <w:p>
      <w:pPr>
        <w:pStyle w:val="Normal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  <w:spacing w:val="2"/>
          <w:sz w:val="24"/>
        </w:rPr>
        <w:t>Создание условий для обеспечения населения Ильинского муниципального района услугами холодного водоснабжения и водоотведения</w:t>
      </w:r>
      <w:r>
        <w:rPr>
          <w:rFonts w:ascii="Times New Roman" w:hAnsi="Times New Roman"/>
          <w:b/>
          <w:sz w:val="24"/>
        </w:rPr>
        <w:t>»</w:t>
      </w:r>
    </w:p>
    <w:p>
      <w:pPr>
        <w:pStyle w:val="Normal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1</w:t>
      </w:r>
    </w:p>
    <w:tbl>
      <w:tblPr>
        <w:tblStyle w:val="Style_4"/>
        <w:tblW w:w="9497" w:type="dxa"/>
        <w:jc w:val="left"/>
        <w:tblInd w:w="0" w:type="dxa"/>
        <w:tblCellMar>
          <w:top w:w="0" w:type="dxa"/>
          <w:left w:w="88" w:type="dxa"/>
          <w:bottom w:w="0" w:type="dxa"/>
          <w:right w:w="108" w:type="dxa"/>
        </w:tblCellMar>
      </w:tblPr>
      <w:tblGrid>
        <w:gridCol w:w="3271"/>
        <w:gridCol w:w="6225"/>
      </w:tblGrid>
      <w:tr>
        <w:trPr/>
        <w:tc>
          <w:tcPr>
            <w:tcW w:w="3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Наименование подпрограммы</w:t>
            </w:r>
          </w:p>
        </w:tc>
        <w:tc>
          <w:tcPr>
            <w:tcW w:w="6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«</w:t>
            </w:r>
            <w:r>
              <w:rPr>
                <w:rFonts w:ascii="Times New Roman" w:hAnsi="Times New Roman"/>
                <w:spacing w:val="2"/>
                <w:sz w:val="24"/>
              </w:rPr>
              <w:t>Создание условий для обеспечения населения Ильинского муниципального района услугами холодного водоснабжения и водоотведения»</w:t>
            </w:r>
          </w:p>
        </w:tc>
      </w:tr>
      <w:tr>
        <w:trPr>
          <w:trHeight w:val="120" w:hRule="atLeast"/>
        </w:trPr>
        <w:tc>
          <w:tcPr>
            <w:tcW w:w="3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Срок реализации подпрограммы</w:t>
            </w:r>
          </w:p>
        </w:tc>
        <w:tc>
          <w:tcPr>
            <w:tcW w:w="6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spacing w:val="0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2022-2025 годы</w:t>
            </w:r>
          </w:p>
        </w:tc>
      </w:tr>
      <w:tr>
        <w:trPr/>
        <w:tc>
          <w:tcPr>
            <w:tcW w:w="3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Администратор подпрограммы</w:t>
            </w:r>
          </w:p>
        </w:tc>
        <w:tc>
          <w:tcPr>
            <w:tcW w:w="6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Администрация Ильинского муниципального района</w:t>
            </w:r>
          </w:p>
        </w:tc>
      </w:tr>
      <w:tr>
        <w:trPr/>
        <w:tc>
          <w:tcPr>
            <w:tcW w:w="3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Исполнители подпрограммы</w:t>
            </w:r>
          </w:p>
        </w:tc>
        <w:tc>
          <w:tcPr>
            <w:tcW w:w="6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Администрация Ильинского муниципального района;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spacing w:val="0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МУП «РМПО ЖКХ Ильинского муниципального района»</w:t>
            </w:r>
          </w:p>
        </w:tc>
      </w:tr>
      <w:tr>
        <w:trPr/>
        <w:tc>
          <w:tcPr>
            <w:tcW w:w="3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Цели подпрограммы</w:t>
            </w:r>
          </w:p>
        </w:tc>
        <w:tc>
          <w:tcPr>
            <w:tcW w:w="6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Tekstob1"/>
              <w:widowControl w:val="false"/>
              <w:spacing w:lineRule="auto" w:line="240" w:before="280" w:after="280"/>
              <w:ind w:left="0" w:right="0" w:hanging="0"/>
              <w:jc w:val="both"/>
              <w:rPr>
                <w:color w:val="000000"/>
              </w:rPr>
            </w:pPr>
            <w:r>
              <w:rPr>
                <w:color w:val="000000"/>
                <w:spacing w:val="0"/>
              </w:rPr>
              <w:t>- улучшение обеспечения качественной питьевой водой и подача ее населению Ильинского муниципального района;</w:t>
            </w:r>
          </w:p>
          <w:p>
            <w:pPr>
              <w:pStyle w:val="Tekstob1"/>
              <w:widowControl w:val="false"/>
              <w:spacing w:lineRule="auto" w:line="240" w:before="280" w:after="280"/>
              <w:ind w:left="0" w:right="0" w:hanging="0"/>
              <w:jc w:val="both"/>
              <w:rPr>
                <w:color w:val="000000"/>
              </w:rPr>
            </w:pPr>
            <w:r>
              <w:rPr>
                <w:color w:val="000000"/>
                <w:spacing w:val="0"/>
              </w:rPr>
              <w:t>- обеспечение соответствия требуемым показателям качества и гарантий экологической безопасности производства очистки сточных вод в системах канализации на территории сельских поселений.</w:t>
            </w:r>
          </w:p>
        </w:tc>
      </w:tr>
      <w:tr>
        <w:trPr/>
        <w:tc>
          <w:tcPr>
            <w:tcW w:w="3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Целевые индикаторы и ожидаемые результаты подпрограммы</w:t>
            </w:r>
          </w:p>
        </w:tc>
        <w:tc>
          <w:tcPr>
            <w:tcW w:w="6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- удельный вес проб воды, отбор которых произведен из водопроводной сети и которые не отвечают гигиеническим нормативам по санитарно-химическим показателям;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- доля уличной водопроводной сети, нуждающейся в замене;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- доля уличной канализационной сети, нуждающейся в замене;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- число аварий в системах водоснабжения, водоотведения и очистки сточных вод;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- обеспеченность населения централизованными услугами водоснабжения;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- обеспеченность населения централизованными услугами водоотведения;</w:t>
            </w:r>
          </w:p>
        </w:tc>
      </w:tr>
      <w:tr>
        <w:trPr/>
        <w:tc>
          <w:tcPr>
            <w:tcW w:w="3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Задачи подпрограммы</w:t>
            </w:r>
          </w:p>
        </w:tc>
        <w:tc>
          <w:tcPr>
            <w:tcW w:w="6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Formattext1"/>
              <w:widowControl w:val="false"/>
              <w:spacing w:lineRule="auto" w:line="240" w:before="280" w:after="280"/>
              <w:ind w:left="0" w:right="0" w:hanging="0"/>
              <w:jc w:val="both"/>
              <w:rPr>
                <w:spacing w:val="2"/>
              </w:rPr>
            </w:pPr>
            <w:r>
              <w:rPr>
                <w:spacing w:val="2"/>
              </w:rPr>
              <w:t>- сохранение имеющегося потенциала мощности систем водоснабжения и водоотведения за счет проведения необходимых объемов реконструкции, технического перевооружения;</w:t>
            </w:r>
          </w:p>
          <w:p>
            <w:pPr>
              <w:pStyle w:val="Formattext1"/>
              <w:widowControl w:val="false"/>
              <w:spacing w:lineRule="auto" w:line="240" w:before="280" w:after="280"/>
              <w:ind w:left="0" w:right="0" w:hanging="0"/>
              <w:jc w:val="both"/>
              <w:rPr>
                <w:spacing w:val="2"/>
              </w:rPr>
            </w:pPr>
            <w:r>
              <w:rPr>
                <w:spacing w:val="2"/>
              </w:rPr>
              <w:t>- развитие и совершенствование систем централизованного хозяйственно-питьевого водоснабжения и водоотведения;</w:t>
            </w:r>
          </w:p>
          <w:p>
            <w:pPr>
              <w:pStyle w:val="Formattext1"/>
              <w:widowControl w:val="false"/>
              <w:spacing w:lineRule="auto" w:line="240" w:before="280" w:after="280"/>
              <w:ind w:left="0" w:right="0" w:hanging="0"/>
              <w:jc w:val="both"/>
              <w:rPr>
                <w:spacing w:val="2"/>
              </w:rPr>
            </w:pPr>
            <w:r>
              <w:rPr>
                <w:spacing w:val="2"/>
              </w:rPr>
              <w:t>- обеспечение качества питьевой воды, подаваемой населению, путем внедрения средств очистки;</w:t>
            </w:r>
          </w:p>
          <w:p>
            <w:pPr>
              <w:pStyle w:val="Formattext1"/>
              <w:widowControl w:val="false"/>
              <w:spacing w:lineRule="auto" w:line="240" w:before="280" w:after="280"/>
              <w:ind w:left="0" w:right="0" w:hanging="0"/>
              <w:jc w:val="both"/>
              <w:rPr>
                <w:spacing w:val="2"/>
              </w:rPr>
            </w:pPr>
            <w:r>
              <w:rPr>
                <w:spacing w:val="2"/>
              </w:rPr>
              <w:t>- предотвращение загрязнения и истощения источников питьевого водоснабжения за счет ликвидации непригодных к дальнейшей эксплуатации скважин, восстановления зон санитарной охраны на действующих водозаборах;</w:t>
            </w:r>
          </w:p>
          <w:p>
            <w:pPr>
              <w:pStyle w:val="Formattext1"/>
              <w:widowControl w:val="false"/>
              <w:spacing w:lineRule="auto" w:line="240" w:before="280" w:after="280"/>
              <w:ind w:left="0" w:right="0" w:hanging="0"/>
              <w:jc w:val="both"/>
              <w:rPr>
                <w:spacing w:val="2"/>
              </w:rPr>
            </w:pPr>
            <w:r>
              <w:rPr>
                <w:spacing w:val="2"/>
              </w:rPr>
              <w:t>- повышение эффективности и надежности функционирования систем водообеспечения за счет реализации водоохранных, технических и санитарных мероприятий;</w:t>
            </w:r>
          </w:p>
          <w:p>
            <w:pPr>
              <w:pStyle w:val="Formattext1"/>
              <w:widowControl w:val="false"/>
              <w:spacing w:lineRule="auto" w:line="240" w:before="280" w:after="280"/>
              <w:ind w:left="0" w:right="0" w:hanging="0"/>
              <w:jc w:val="both"/>
              <w:rPr>
                <w:spacing w:val="2"/>
              </w:rPr>
            </w:pPr>
            <w:r>
              <w:rPr>
                <w:spacing w:val="2"/>
              </w:rPr>
              <w:t>- оперативное реагирование на аварийные ситуации в сфере ЖКХ.</w:t>
            </w:r>
          </w:p>
        </w:tc>
      </w:tr>
      <w:tr>
        <w:trPr/>
        <w:tc>
          <w:tcPr>
            <w:tcW w:w="3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0"/>
                <w:sz w:val="24"/>
              </w:rPr>
              <w:t>Объем бюджетных ассигнований на реализацию подпрограммы (по годам реализации)</w:t>
            </w:r>
          </w:p>
        </w:tc>
        <w:tc>
          <w:tcPr>
            <w:tcW w:w="6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sz w:val="24"/>
              </w:rPr>
              <w:t>Общая сумма расходов на реализацию подпрограммы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pacing w:val="0"/>
              </w:rPr>
            </w:pPr>
            <w:r>
              <w:rPr>
                <w:spacing w:val="0"/>
                <w:sz w:val="24"/>
              </w:rPr>
              <w:t xml:space="preserve">на 2022 – 2025 годы: </w:t>
            </w:r>
            <w:r>
              <w:rPr>
                <w:b/>
                <w:spacing w:val="0"/>
                <w:sz w:val="24"/>
              </w:rPr>
              <w:t>14227,67958</w:t>
            </w:r>
            <w:r>
              <w:rPr>
                <w:b/>
                <w:color w:val="000000"/>
                <w:spacing w:val="0"/>
                <w:sz w:val="24"/>
              </w:rPr>
              <w:t xml:space="preserve"> тыс. руб</w:t>
            </w:r>
            <w:r>
              <w:rPr>
                <w:color w:val="000000"/>
                <w:spacing w:val="0"/>
                <w:sz w:val="24"/>
              </w:rPr>
              <w:t>.,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sz w:val="24"/>
              </w:rPr>
              <w:t>в том числе средства: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color w:val="FB290D"/>
              </w:rPr>
            </w:pPr>
            <w:r>
              <w:rPr>
                <w:spacing w:val="0"/>
                <w:sz w:val="24"/>
              </w:rPr>
              <w:t>2022 год –</w:t>
            </w:r>
            <w:r>
              <w:rPr>
                <w:b/>
                <w:color w:val="000000"/>
                <w:spacing w:val="0"/>
                <w:sz w:val="24"/>
              </w:rPr>
              <w:t>2373,17958 тыс.руб.,в т.ч.: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color w:val="FB290D"/>
              </w:rPr>
            </w:pPr>
            <w:r>
              <w:rPr>
                <w:b w:val="false"/>
                <w:spacing w:val="0"/>
                <w:sz w:val="24"/>
              </w:rPr>
              <w:t>Обл. бюджет – 200,00 тыс.руб.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b w:val="false"/>
                <w:color w:val="FB290D"/>
              </w:rPr>
            </w:pPr>
            <w:r>
              <w:rPr>
                <w:b w:val="false"/>
                <w:spacing w:val="0"/>
                <w:sz w:val="24"/>
              </w:rPr>
              <w:t>Мест. бюджет -2173,17958 тыс.руб.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b w:val="false"/>
                <w:color w:val="000000"/>
                <w:spacing w:val="0"/>
                <w:sz w:val="24"/>
              </w:rPr>
              <w:t>2023 год –</w:t>
            </w:r>
            <w:r>
              <w:rPr>
                <w:b w:val="false"/>
                <w:color w:val="FB290D"/>
                <w:spacing w:val="0"/>
                <w:sz w:val="24"/>
              </w:rPr>
              <w:t xml:space="preserve"> </w:t>
            </w:r>
            <w:r>
              <w:rPr>
                <w:b/>
                <w:color w:val="000000"/>
                <w:spacing w:val="0"/>
                <w:sz w:val="24"/>
              </w:rPr>
              <w:t>7254,5</w:t>
            </w:r>
            <w:r>
              <w:rPr>
                <w:b w:val="false"/>
                <w:color w:val="000000"/>
                <w:spacing w:val="0"/>
                <w:sz w:val="24"/>
              </w:rPr>
              <w:t xml:space="preserve"> </w:t>
            </w:r>
            <w:r>
              <w:rPr>
                <w:b/>
                <w:color w:val="000000"/>
                <w:spacing w:val="0"/>
                <w:sz w:val="24"/>
              </w:rPr>
              <w:t>тыс.руб., в т.ч.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/>
                <w:b/>
                <w:color w:val="FB290D"/>
                <w:sz w:val="24"/>
              </w:rPr>
            </w:pPr>
            <w:r>
              <w:rPr>
                <w:b w:val="false"/>
                <w:color w:val="000000"/>
                <w:spacing w:val="0"/>
                <w:sz w:val="24"/>
              </w:rPr>
              <w:t xml:space="preserve">Обл. бюджет – </w:t>
            </w:r>
            <w:r>
              <w:rPr>
                <w:b w:val="false"/>
                <w:color w:val="000000"/>
                <w:spacing w:val="0"/>
                <w:sz w:val="24"/>
              </w:rPr>
              <w:t>4706,775</w:t>
            </w:r>
            <w:r>
              <w:rPr>
                <w:b w:val="false"/>
                <w:color w:val="FB290D"/>
                <w:spacing w:val="0"/>
                <w:sz w:val="24"/>
              </w:rPr>
              <w:t xml:space="preserve"> </w:t>
            </w:r>
            <w:r>
              <w:rPr>
                <w:b w:val="false"/>
                <w:color w:val="000000"/>
                <w:spacing w:val="0"/>
                <w:sz w:val="24"/>
              </w:rPr>
              <w:t>тыс.руб.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b w:val="false"/>
              </w:rPr>
            </w:pPr>
            <w:r>
              <w:rPr>
                <w:b w:val="false"/>
                <w:color w:val="000000"/>
                <w:spacing w:val="0"/>
                <w:sz w:val="24"/>
              </w:rPr>
              <w:t>Мест. бюджет -</w:t>
            </w:r>
            <w:r>
              <w:rPr>
                <w:b w:val="false"/>
                <w:color w:val="000000"/>
                <w:spacing w:val="0"/>
                <w:sz w:val="24"/>
              </w:rPr>
              <w:t>2547,725</w:t>
            </w:r>
            <w:r>
              <w:rPr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b w:val="false"/>
                <w:color w:val="000000"/>
                <w:spacing w:val="0"/>
                <w:sz w:val="24"/>
              </w:rPr>
              <w:t>тыс.руб.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pacing w:val="0"/>
              </w:rPr>
            </w:pPr>
            <w:r>
              <w:rPr>
                <w:spacing w:val="0"/>
                <w:sz w:val="24"/>
              </w:rPr>
              <w:t xml:space="preserve">2024 год — </w:t>
            </w:r>
            <w:r>
              <w:rPr>
                <w:b/>
                <w:spacing w:val="0"/>
                <w:sz w:val="24"/>
              </w:rPr>
              <w:t>2300,0 тыс.руб</w:t>
            </w:r>
            <w:r>
              <w:rPr>
                <w:spacing w:val="0"/>
                <w:sz w:val="24"/>
              </w:rPr>
              <w:t>.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pacing w:val="0"/>
              </w:rPr>
            </w:pPr>
            <w:r>
              <w:rPr>
                <w:spacing w:val="0"/>
                <w:sz w:val="24"/>
              </w:rPr>
              <w:t xml:space="preserve">2025 год — </w:t>
            </w:r>
            <w:r>
              <w:rPr>
                <w:b/>
                <w:spacing w:val="0"/>
                <w:sz w:val="24"/>
              </w:rPr>
              <w:t>2300,0 тыс.руб</w:t>
            </w:r>
            <w:r>
              <w:rPr>
                <w:spacing w:val="0"/>
                <w:sz w:val="24"/>
              </w:rPr>
              <w:t>.</w:t>
            </w:r>
          </w:p>
        </w:tc>
      </w:tr>
    </w:tbl>
    <w:p>
      <w:pPr>
        <w:pStyle w:val="Normal"/>
        <w:jc w:val="center"/>
        <w:rPr>
          <w:rFonts w:ascii="Times New Roman" w:hAnsi="Times New Roman"/>
          <w:b/>
          <w:b/>
          <w:sz w:val="16"/>
        </w:rPr>
      </w:pPr>
      <w:r>
        <w:rPr>
          <w:rFonts w:ascii="Times New Roman" w:hAnsi="Times New Roman"/>
          <w:b/>
          <w:sz w:val="16"/>
        </w:rPr>
      </w:r>
      <w:r>
        <w:br w:type="page"/>
      </w:r>
    </w:p>
    <w:p>
      <w:pPr>
        <w:pStyle w:val="Normal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2. Характеристика проблемы, на решение которой направлена подпрограмма</w:t>
      </w:r>
    </w:p>
    <w:p>
      <w:pPr>
        <w:pStyle w:val="Tekstob1"/>
        <w:spacing w:before="280" w:after="280"/>
        <w:jc w:val="both"/>
        <w:rPr>
          <w:sz w:val="16"/>
        </w:rPr>
      </w:pPr>
      <w:r>
        <w:rPr>
          <w:sz w:val="16"/>
        </w:rPr>
      </w:r>
    </w:p>
    <w:p>
      <w:pPr>
        <w:pStyle w:val="Tekstob1"/>
        <w:spacing w:before="280" w:after="280"/>
        <w:ind w:left="0" w:right="0" w:firstLine="851"/>
        <w:jc w:val="both"/>
        <w:rPr/>
      </w:pPr>
      <w:r>
        <w:rPr/>
        <w:t>В Ильинском муниципальном районе одним из актуальнейших и проблемных вопросов остается вопрос обеспечения населения сельских поселений качественной питьевой водой и бесперебойной работы системы водоснабжения.</w:t>
      </w:r>
    </w:p>
    <w:p>
      <w:pPr>
        <w:pStyle w:val="Normal"/>
        <w:ind w:left="0" w:right="0"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сегодняшний день на территории сельских поселений Ильинского муниципального района имеется 12 артезианских скважин, 10 водонапорных башен, год ввода в эксплуатацию части из них насчитывает более 35 лет, разводящие водопроводные сети в границах населенных пунктов составляют порядка 30 км, из них ветхие водопроводы составляют порядка 80%.</w:t>
      </w:r>
    </w:p>
    <w:p>
      <w:pPr>
        <w:pStyle w:val="Normal"/>
        <w:ind w:left="0" w:right="0"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Сельские поселения Ильинского муниципального района обеспечено запасами подземных вод в необходимом количестве, но в настоящее время большинство сооружений водопровода не в состоянии обеспечить бесперебойную подачу воды и требуемый уровень ее качества. </w:t>
      </w:r>
    </w:p>
    <w:p>
      <w:pPr>
        <w:pStyle w:val="Normal"/>
        <w:ind w:left="0" w:right="0"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длительной эксплуатации вышеуказанных объектов и сложного финансового положения за последние 35 лет не производился капитально - восстановительный ремонт основных средств: сооружений, технологического оборудования и магистральных сетей. Не выделялись средства на реконструкцию и строительство сооружений по очистке и улучшению качества питьевой воды.</w:t>
      </w:r>
    </w:p>
    <w:p>
      <w:pPr>
        <w:pStyle w:val="Normal"/>
        <w:ind w:left="0" w:right="0"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 все время эксплуатации водопроводных сетей, производился в основном текущий ремонт и частичная замена ветхих водопроводных линий, их износ в настоящее время составил более90%. Следует отметить, что напорные трубы скважин, обеспечивающих подъем и подачу воды в водопроводные сети, на сегодняшний день требуют замены. </w:t>
      </w:r>
    </w:p>
    <w:p>
      <w:pPr>
        <w:pStyle w:val="Normal"/>
        <w:ind w:left="0" w:right="0"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Также в результате расширения сети потребителей воды возникает необходимость бурения дополнительных скважин и корректировки распределения подачи воды с целью выравнивания давления в сети.</w:t>
      </w:r>
    </w:p>
    <w:p>
      <w:pPr>
        <w:pStyle w:val="Normal"/>
        <w:ind w:left="0" w:right="0"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обеспечения бесперебойного и надежного водоснабжения населения, производственных объектов, объектов социально-культурного быта в полном объеме необходим комплекс мероприятий по замене ветхих водопроводных сетей, запорной и регулирующей арматуры, установки энергосберегающих автоматических станций управления насосами артезианских скважин, капитальный ремонт павильонов артезианских скважин, строительство ограждений санитарных зон артезианских скважин.</w:t>
      </w:r>
    </w:p>
    <w:p>
      <w:pPr>
        <w:pStyle w:val="Normal"/>
        <w:ind w:left="0" w:right="0"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Протяженность сетей водоотведения, находящихся на территории сельских поселений Ильинского муниципального района, на сегодняшний день составляет 0,8 км. Общий износ сетей водоотведения составляет почти 100%.</w:t>
      </w:r>
    </w:p>
    <w:p>
      <w:pPr>
        <w:pStyle w:val="Normal"/>
        <w:ind w:left="0" w:right="0"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2"/>
          <w:sz w:val="24"/>
          <w:highlight w:val="white"/>
        </w:rPr>
        <w:t>Неудовлетворительное состояние систем водоснабжения, водоотведения и очистки сточных вод вызвано недостаточным финансированием отрасли.</w:t>
      </w:r>
    </w:p>
    <w:p>
      <w:pPr>
        <w:pStyle w:val="Normal"/>
        <w:ind w:left="0" w:right="0"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Данная подпрограмма направлена на повышение надежности и качества водоснабжения населения, объектов соц. культ быта, предприятий и организаций, находящихся на территории сельских поселений Ильинского муниципального района, и ее реализация требует дополнительного целевого финансового обеспечения.</w:t>
      </w:r>
    </w:p>
    <w:p>
      <w:pPr>
        <w:pStyle w:val="Normal"/>
        <w:ind w:left="0" w:right="0"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Важнейшим фактором, определяющим необходимость разработки и реализации подпрограммы в Ильинском муниципальном районе с учетом приоритетных направлений социальных и экономических реформ, является социальная значимость данной проблемы в части повышения качества жизни и сохранения здоровья граждан.</w:t>
      </w:r>
      <w:r>
        <w:br w:type="page"/>
      </w:r>
    </w:p>
    <w:p>
      <w:pPr>
        <w:pStyle w:val="ConsPlusNormal1"/>
        <w:jc w:val="center"/>
        <w:rPr>
          <w:b/>
          <w:b/>
          <w:sz w:val="24"/>
        </w:rPr>
      </w:pPr>
      <w:r>
        <w:rPr>
          <w:b/>
          <w:sz w:val="24"/>
        </w:rPr>
        <w:t>3. Цели, целевые индикаторы и ожидаемые результаты реализации подпрограммы</w:t>
      </w:r>
    </w:p>
    <w:p>
      <w:pPr>
        <w:pStyle w:val="ConsPlusNormal1"/>
        <w:jc w:val="center"/>
        <w:rPr>
          <w:b/>
          <w:b/>
          <w:spacing w:val="2"/>
          <w:sz w:val="24"/>
        </w:rPr>
      </w:pPr>
      <w:r>
        <w:rPr>
          <w:b/>
          <w:spacing w:val="2"/>
          <w:sz w:val="24"/>
        </w:rPr>
      </w:r>
    </w:p>
    <w:p>
      <w:pPr>
        <w:pStyle w:val="ConsPlusNormal1"/>
        <w:jc w:val="center"/>
        <w:rPr>
          <w:b/>
          <w:b/>
          <w:spacing w:val="2"/>
          <w:sz w:val="24"/>
        </w:rPr>
      </w:pPr>
      <w:r>
        <w:rPr>
          <w:b/>
          <w:spacing w:val="2"/>
          <w:sz w:val="24"/>
        </w:rPr>
        <w:t>3.1. Цели подпрограммы</w:t>
      </w:r>
    </w:p>
    <w:p>
      <w:pPr>
        <w:pStyle w:val="ConsPlusNormal1"/>
        <w:jc w:val="center"/>
        <w:rPr>
          <w:b/>
          <w:b/>
          <w:color w:val="2D2D2D"/>
          <w:spacing w:val="2"/>
        </w:rPr>
      </w:pPr>
      <w:r>
        <w:rPr>
          <w:b/>
          <w:color w:val="2D2D2D"/>
          <w:spacing w:val="2"/>
        </w:rPr>
      </w:r>
    </w:p>
    <w:p>
      <w:pPr>
        <w:pStyle w:val="Formattext1"/>
        <w:spacing w:before="280" w:after="280"/>
        <w:ind w:left="0" w:right="0" w:firstLine="567"/>
        <w:jc w:val="both"/>
        <w:rPr>
          <w:spacing w:val="2"/>
        </w:rPr>
      </w:pPr>
      <w:r>
        <w:rPr>
          <w:spacing w:val="2"/>
        </w:rPr>
        <w:t>Основными целями подпрограммы являются:</w:t>
      </w:r>
    </w:p>
    <w:p>
      <w:pPr>
        <w:pStyle w:val="Formattext1"/>
        <w:spacing w:before="280" w:after="280"/>
        <w:ind w:left="0" w:right="0" w:firstLine="567"/>
        <w:jc w:val="both"/>
        <w:rPr>
          <w:spacing w:val="2"/>
        </w:rPr>
      </w:pPr>
      <w:r>
        <w:rPr>
          <w:spacing w:val="2"/>
        </w:rPr>
        <w:t xml:space="preserve">- улучшение обеспечения населения питьевой водой надлежащего качества и в достаточном количестве, </w:t>
      </w:r>
    </w:p>
    <w:p>
      <w:pPr>
        <w:pStyle w:val="Formattext1"/>
        <w:spacing w:before="280" w:after="280"/>
        <w:ind w:left="0" w:right="0" w:firstLine="567"/>
        <w:jc w:val="both"/>
        <w:rPr>
          <w:spacing w:val="2"/>
        </w:rPr>
      </w:pPr>
      <w:r>
        <w:rPr>
          <w:spacing w:val="2"/>
        </w:rPr>
        <w:t>- повышение степени очистки сточных вод, сокращение объема загрязняющих веществ, сбрасываемых в водные объекты, улучшение на этой основе состояния здоровья населения Ильинского муниципального района;</w:t>
      </w:r>
    </w:p>
    <w:p>
      <w:pPr>
        <w:pStyle w:val="Formattext1"/>
        <w:spacing w:before="280" w:after="280"/>
        <w:ind w:left="0" w:right="0" w:firstLine="567"/>
        <w:jc w:val="both"/>
        <w:rPr>
          <w:spacing w:val="2"/>
        </w:rPr>
      </w:pPr>
      <w:r>
        <w:rPr>
          <w:spacing w:val="2"/>
        </w:rPr>
        <w:t>- восстановление, охрана и рациональное использование источников питьевого водоснабжения.</w:t>
      </w:r>
    </w:p>
    <w:p>
      <w:pPr>
        <w:pStyle w:val="Formattext1"/>
        <w:spacing w:before="280" w:after="280"/>
        <w:ind w:left="0" w:right="0" w:firstLine="567"/>
        <w:jc w:val="both"/>
        <w:rPr>
          <w:spacing w:val="2"/>
        </w:rPr>
      </w:pPr>
      <w:r>
        <w:rPr>
          <w:spacing w:val="2"/>
        </w:rPr>
        <w:t>- повышение качества предоставляемых потребителям коммунальных услуг.</w:t>
      </w:r>
    </w:p>
    <w:p>
      <w:pPr>
        <w:pStyle w:val="Normal"/>
        <w:ind w:left="0" w:right="0"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Достижение цели и решение задач подпрограммы оценивается следующими целевыми индикаторами (показателями).</w:t>
      </w:r>
    </w:p>
    <w:p>
      <w:pPr>
        <w:pStyle w:val="Normal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onsPlusNormal1"/>
        <w:numPr>
          <w:ilvl w:val="0"/>
          <w:numId w:val="0"/>
        </w:numPr>
        <w:ind w:left="0" w:right="0" w:hanging="0"/>
        <w:jc w:val="center"/>
        <w:outlineLvl w:val="2"/>
        <w:rPr>
          <w:b/>
          <w:b/>
          <w:sz w:val="24"/>
        </w:rPr>
      </w:pPr>
      <w:r>
        <w:rPr>
          <w:b/>
          <w:sz w:val="24"/>
        </w:rPr>
        <w:t>3.2. Целевые индикаторы и ожидаемые результаты реализации подпрограммы</w:t>
      </w:r>
    </w:p>
    <w:p>
      <w:pPr>
        <w:pStyle w:val="Normal"/>
        <w:ind w:left="1863" w:right="0" w:hanging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ind w:left="1863" w:right="0" w:hanging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2</w:t>
      </w:r>
    </w:p>
    <w:p>
      <w:pPr>
        <w:pStyle w:val="Normal"/>
        <w:rPr>
          <w:sz w:val="2"/>
        </w:rPr>
      </w:pPr>
      <w:r>
        <w:rPr>
          <w:sz w:val="2"/>
        </w:rPr>
      </w:r>
    </w:p>
    <w:tbl>
      <w:tblPr>
        <w:tblStyle w:val="Style_4"/>
        <w:tblW w:w="8832" w:type="dxa"/>
        <w:jc w:val="left"/>
        <w:tblInd w:w="0" w:type="dxa"/>
        <w:tblCellMar>
          <w:top w:w="0" w:type="dxa"/>
          <w:left w:w="7" w:type="dxa"/>
          <w:bottom w:w="0" w:type="dxa"/>
          <w:right w:w="26" w:type="dxa"/>
        </w:tblCellMar>
      </w:tblPr>
      <w:tblGrid>
        <w:gridCol w:w="3762"/>
        <w:gridCol w:w="989"/>
        <w:gridCol w:w="1050"/>
        <w:gridCol w:w="1005"/>
        <w:gridCol w:w="1005"/>
        <w:gridCol w:w="1020"/>
      </w:tblGrid>
      <w:tr>
        <w:trPr>
          <w:trHeight w:val="1063" w:hRule="atLeast"/>
        </w:trPr>
        <w:tc>
          <w:tcPr>
            <w:tcW w:w="3762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72" w:right="0" w:hanging="0"/>
              <w:jc w:val="center"/>
              <w:rPr>
                <w:rFonts w:ascii="Times New Roman" w:hAnsi="Times New Roman"/>
                <w:b/>
                <w:b/>
                <w:spacing w:val="-2"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Наименование целевого индикатора</w:t>
            </w:r>
          </w:p>
          <w:p>
            <w:pPr>
              <w:pStyle w:val="Normal"/>
              <w:widowControl w:val="false"/>
              <w:spacing w:lineRule="auto" w:line="240" w:before="0" w:after="0"/>
              <w:ind w:left="72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(показателя)</w:t>
            </w:r>
          </w:p>
        </w:tc>
        <w:tc>
          <w:tcPr>
            <w:tcW w:w="989" w:type="dxa"/>
            <w:tcBorders>
              <w:top w:val="single" w:sz="6" w:space="0" w:color="00000A"/>
              <w:left w:val="single" w:sz="6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7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Ед. изм.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14" w:right="0" w:hanging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год</w:t>
            </w:r>
          </w:p>
        </w:tc>
        <w:tc>
          <w:tcPr>
            <w:tcW w:w="1005" w:type="dxa"/>
            <w:tcBorders>
              <w:top w:val="single" w:sz="6" w:space="0" w:color="00000A"/>
              <w:lef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14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год</w:t>
            </w:r>
          </w:p>
        </w:tc>
        <w:tc>
          <w:tcPr>
            <w:tcW w:w="1005" w:type="dxa"/>
            <w:tcBorders>
              <w:top w:val="single" w:sz="6" w:space="0" w:color="00000A"/>
              <w:left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14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год</w:t>
            </w:r>
          </w:p>
        </w:tc>
        <w:tc>
          <w:tcPr>
            <w:tcW w:w="1020" w:type="dxa"/>
            <w:tcBorders>
              <w:top w:val="single" w:sz="6" w:space="0" w:color="00000A"/>
              <w:left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14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2025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год</w:t>
            </w:r>
          </w:p>
        </w:tc>
      </w:tr>
      <w:tr>
        <w:trPr>
          <w:trHeight w:val="552" w:hRule="atLeast"/>
        </w:trPr>
        <w:tc>
          <w:tcPr>
            <w:tcW w:w="3762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Доля уличной водопроводной сети, нуждающейся в замене</w:t>
            </w:r>
          </w:p>
        </w:tc>
        <w:tc>
          <w:tcPr>
            <w:tcW w:w="989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%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85</w:t>
            </w:r>
          </w:p>
        </w:tc>
        <w:tc>
          <w:tcPr>
            <w:tcW w:w="1005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84</w:t>
            </w:r>
          </w:p>
        </w:tc>
        <w:tc>
          <w:tcPr>
            <w:tcW w:w="1005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83</w:t>
            </w:r>
          </w:p>
        </w:tc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82</w:t>
            </w:r>
          </w:p>
        </w:tc>
      </w:tr>
      <w:tr>
        <w:trPr>
          <w:trHeight w:val="494" w:hRule="atLeast"/>
        </w:trPr>
        <w:tc>
          <w:tcPr>
            <w:tcW w:w="3762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Доля уличной канализационной сети, нуждающейся в замене</w:t>
            </w:r>
          </w:p>
        </w:tc>
        <w:tc>
          <w:tcPr>
            <w:tcW w:w="989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%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94</w:t>
            </w:r>
          </w:p>
        </w:tc>
        <w:tc>
          <w:tcPr>
            <w:tcW w:w="1005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93</w:t>
            </w:r>
          </w:p>
        </w:tc>
        <w:tc>
          <w:tcPr>
            <w:tcW w:w="10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92</w:t>
            </w:r>
          </w:p>
        </w:tc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92</w:t>
            </w:r>
          </w:p>
        </w:tc>
      </w:tr>
      <w:tr>
        <w:trPr>
          <w:trHeight w:val="548" w:hRule="exact"/>
        </w:trPr>
        <w:tc>
          <w:tcPr>
            <w:tcW w:w="3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Число аварий в системах водоснабжения водоотведения и очистки сточных вод</w:t>
            </w:r>
          </w:p>
        </w:tc>
        <w:tc>
          <w:tcPr>
            <w:tcW w:w="9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ед.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21</w:t>
            </w:r>
          </w:p>
        </w:tc>
        <w:tc>
          <w:tcPr>
            <w:tcW w:w="10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21</w:t>
            </w:r>
          </w:p>
        </w:tc>
        <w:tc>
          <w:tcPr>
            <w:tcW w:w="10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21</w:t>
            </w:r>
          </w:p>
        </w:tc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</w:p>
        </w:tc>
      </w:tr>
      <w:tr>
        <w:trPr>
          <w:trHeight w:val="630" w:hRule="exact"/>
        </w:trPr>
        <w:tc>
          <w:tcPr>
            <w:tcW w:w="3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Обеспеченность населения централизованными услугами водоснабжения</w:t>
            </w:r>
          </w:p>
        </w:tc>
        <w:tc>
          <w:tcPr>
            <w:tcW w:w="9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%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37</w:t>
            </w:r>
          </w:p>
        </w:tc>
        <w:tc>
          <w:tcPr>
            <w:tcW w:w="10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37</w:t>
            </w:r>
          </w:p>
        </w:tc>
        <w:tc>
          <w:tcPr>
            <w:tcW w:w="10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37</w:t>
            </w:r>
          </w:p>
        </w:tc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</w:t>
            </w:r>
          </w:p>
        </w:tc>
      </w:tr>
      <w:tr>
        <w:trPr>
          <w:trHeight w:val="705" w:hRule="exact"/>
        </w:trPr>
        <w:tc>
          <w:tcPr>
            <w:tcW w:w="3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Обеспеченность населения централизованными услугами водоотведения</w:t>
            </w:r>
          </w:p>
        </w:tc>
        <w:tc>
          <w:tcPr>
            <w:tcW w:w="9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%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2</w:t>
            </w:r>
          </w:p>
        </w:tc>
        <w:tc>
          <w:tcPr>
            <w:tcW w:w="10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2</w:t>
            </w:r>
          </w:p>
        </w:tc>
        <w:tc>
          <w:tcPr>
            <w:tcW w:w="10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2</w:t>
            </w:r>
          </w:p>
        </w:tc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</w:tbl>
    <w:p>
      <w:pPr>
        <w:pStyle w:val="Formattext1"/>
        <w:spacing w:before="280" w:after="280"/>
        <w:ind w:left="0" w:right="0" w:firstLine="851"/>
        <w:jc w:val="both"/>
        <w:rPr>
          <w:spacing w:val="2"/>
        </w:rPr>
      </w:pPr>
      <w:r>
        <w:rPr>
          <w:spacing w:val="2"/>
        </w:rPr>
      </w:r>
    </w:p>
    <w:p>
      <w:pPr>
        <w:pStyle w:val="Formattext1"/>
        <w:spacing w:before="280" w:after="280"/>
        <w:ind w:left="0" w:right="0" w:firstLine="851"/>
        <w:jc w:val="both"/>
        <w:rPr>
          <w:spacing w:val="2"/>
        </w:rPr>
      </w:pPr>
      <w:r>
        <w:rPr>
          <w:spacing w:val="2"/>
        </w:rPr>
        <w:t>Выполнение вышеуказанных целевых показателей возможно лишь при условии осуществления планируемых объемов финансирования.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ind w:left="0" w:right="0" w:firstLine="851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 xml:space="preserve">Реализация мероприятий подпрограммы позволит: 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ind w:left="0" w:right="0" w:firstLine="851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- обеспечить бесперебойное водоснабжение населения Ильинского муниципального района питьевой водой нормативного качества и в достаточном количестве;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ind w:left="0" w:right="0" w:firstLine="851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- обеспечить экологическую безопасность и комфортность проживания граждан.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ind w:left="0" w:right="0" w:firstLine="851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- устранить причины возникновения аварийных ситуаций, угрожающих жизнедеятельности человека;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ind w:left="0" w:right="0" w:firstLine="851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444444"/>
          <w:sz w:val="24"/>
        </w:rPr>
        <w:t xml:space="preserve">- </w:t>
      </w:r>
      <w:r>
        <w:rPr>
          <w:rFonts w:ascii="Times New Roman" w:hAnsi="Times New Roman"/>
          <w:color w:val="000000"/>
          <w:sz w:val="24"/>
          <w:highlight w:val="white"/>
        </w:rPr>
        <w:t>снизить уровень потерь питьевой воды;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ind w:left="0" w:right="0" w:firstLine="851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- обеспечить выполнение мероприятий по модернизации систем водоснабжения и водоотведения;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ind w:left="0" w:right="0" w:firstLine="851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- снизить уровень износа элементов системы водоснабжения и водоотведения;</w:t>
      </w:r>
    </w:p>
    <w:p>
      <w:pPr>
        <w:pStyle w:val="Normal"/>
        <w:tabs>
          <w:tab w:val="clear" w:pos="708"/>
          <w:tab w:val="left" w:pos="0" w:leader="none"/>
          <w:tab w:val="left" w:pos="709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ind w:left="0" w:right="0" w:firstLine="85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highlight w:val="white"/>
        </w:rPr>
        <w:t>Социально-экономическая эффективность реализации подпрограммы выражается в повышении качества жизни и улучшении здоровья населения.</w:t>
      </w:r>
    </w:p>
    <w:p>
      <w:pPr>
        <w:pStyle w:val="Normal"/>
        <w:tabs>
          <w:tab w:val="clear" w:pos="708"/>
          <w:tab w:val="left" w:pos="0" w:leader="none"/>
          <w:tab w:val="left" w:pos="709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ind w:left="0" w:right="0" w:firstLine="851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Экологическая эффективность мероприятий подпрограммы выражена в реализации права населения на здоровую окружающую среду, обеспечении экологической безопасности населения, улучшении качества питьевой воды, сокращении поступления загрязняющих веществ в акватории водоемов, повышении уровня экологической культуры.</w:t>
      </w:r>
    </w:p>
    <w:p>
      <w:pPr>
        <w:pStyle w:val="Normal"/>
        <w:tabs>
          <w:tab w:val="clear" w:pos="708"/>
          <w:tab w:val="left" w:pos="0" w:leader="none"/>
          <w:tab w:val="left" w:pos="709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jc w:val="center"/>
        <w:rPr>
          <w:color w:val="000000"/>
          <w:sz w:val="24"/>
        </w:rPr>
      </w:pPr>
      <w:r>
        <w:rPr>
          <w:color w:val="000000"/>
          <w:sz w:val="24"/>
        </w:rPr>
      </w:r>
    </w:p>
    <w:p>
      <w:pPr>
        <w:pStyle w:val="Formattext1"/>
        <w:spacing w:before="280" w:after="280"/>
        <w:jc w:val="center"/>
        <w:rPr>
          <w:b/>
          <w:b/>
          <w:spacing w:val="2"/>
        </w:rPr>
      </w:pPr>
      <w:r>
        <w:rPr>
          <w:b/>
          <w:spacing w:val="2"/>
        </w:rPr>
        <w:t>3.3. Задачи подпрограммы</w:t>
      </w:r>
    </w:p>
    <w:p>
      <w:pPr>
        <w:pStyle w:val="Formattext1"/>
        <w:spacing w:before="280" w:after="280"/>
        <w:ind w:left="10" w:right="0" w:hanging="10"/>
        <w:jc w:val="center"/>
        <w:rPr>
          <w:b/>
          <w:b/>
          <w:spacing w:val="2"/>
        </w:rPr>
      </w:pPr>
      <w:r>
        <w:rPr>
          <w:b/>
          <w:spacing w:val="2"/>
        </w:rPr>
      </w:r>
    </w:p>
    <w:p>
      <w:pPr>
        <w:pStyle w:val="Formattext1"/>
        <w:spacing w:before="280" w:after="280"/>
        <w:ind w:left="0" w:right="0" w:firstLine="567"/>
        <w:jc w:val="both"/>
        <w:rPr>
          <w:spacing w:val="2"/>
        </w:rPr>
      </w:pPr>
      <w:r>
        <w:rPr>
          <w:spacing w:val="2"/>
        </w:rPr>
        <w:t>Для достижения поставленных целей подпрограммы необходимо решение следующих задач:</w:t>
      </w:r>
    </w:p>
    <w:p>
      <w:pPr>
        <w:pStyle w:val="Formattext1"/>
        <w:spacing w:before="280" w:after="280"/>
        <w:ind w:left="0" w:right="0" w:firstLine="567"/>
        <w:jc w:val="both"/>
        <w:rPr>
          <w:spacing w:val="2"/>
        </w:rPr>
      </w:pPr>
      <w:r>
        <w:rPr>
          <w:spacing w:val="2"/>
        </w:rPr>
        <w:t>- сохранение имеющегося потенциала мощности систем водоснабжения и водоотведения за счет проведения необходимых объемов реконструкции, технического перевооружения;</w:t>
      </w:r>
    </w:p>
    <w:p>
      <w:pPr>
        <w:pStyle w:val="Formattext1"/>
        <w:spacing w:before="280" w:after="280"/>
        <w:ind w:left="0" w:right="0" w:firstLine="567"/>
        <w:jc w:val="both"/>
        <w:rPr>
          <w:spacing w:val="2"/>
        </w:rPr>
      </w:pPr>
      <w:r>
        <w:rPr>
          <w:spacing w:val="2"/>
        </w:rPr>
        <w:t>- развитие и совершенствование систем централизованного хозяйственно-питьевого водоснабжения и водоотведения;</w:t>
      </w:r>
    </w:p>
    <w:p>
      <w:pPr>
        <w:pStyle w:val="Formattext1"/>
        <w:spacing w:before="280" w:after="280"/>
        <w:ind w:left="0" w:right="0" w:firstLine="567"/>
        <w:jc w:val="both"/>
        <w:rPr>
          <w:spacing w:val="2"/>
        </w:rPr>
      </w:pPr>
      <w:r>
        <w:rPr>
          <w:spacing w:val="2"/>
        </w:rPr>
        <w:t>- обеспечение качества питьевой воды, подаваемой населению, путем внедрения средств очистки;</w:t>
      </w:r>
    </w:p>
    <w:p>
      <w:pPr>
        <w:pStyle w:val="Formattext1"/>
        <w:spacing w:before="280" w:after="280"/>
        <w:ind w:left="0" w:right="0" w:firstLine="567"/>
        <w:jc w:val="both"/>
        <w:rPr>
          <w:spacing w:val="2"/>
        </w:rPr>
      </w:pPr>
      <w:r>
        <w:rPr>
          <w:spacing w:val="2"/>
        </w:rPr>
        <w:t>- предотвращение загрязнения и истощения источников питьевого водоснабжения за счет ликвидации непригодных к дальнейшей эксплуатации скважин, восстановления зон санитарной охраны на действующих водозаборах;</w:t>
      </w:r>
    </w:p>
    <w:p>
      <w:pPr>
        <w:sectPr>
          <w:type w:val="nextPage"/>
          <w:pgSz w:w="11906" w:h="16838"/>
          <w:pgMar w:left="1418" w:right="991" w:header="0" w:top="1134" w:footer="0" w:bottom="709" w:gutter="0"/>
          <w:pgNumType w:fmt="decimal"/>
          <w:formProt w:val="false"/>
          <w:textDirection w:val="lrTb"/>
          <w:docGrid w:type="default" w:linePitch="100" w:charSpace="0"/>
        </w:sectPr>
        <w:pStyle w:val="Formattext1"/>
        <w:spacing w:before="280" w:after="280"/>
        <w:ind w:left="0" w:right="0" w:firstLine="567"/>
        <w:jc w:val="both"/>
        <w:rPr>
          <w:spacing w:val="2"/>
        </w:rPr>
      </w:pPr>
      <w:r>
        <w:rPr>
          <w:spacing w:val="2"/>
        </w:rPr>
        <w:t>- повышение эффективности и надежности функционирования систем водообеспечения за счет реализации водоохранных, технических и санитарных мероприятий.</w:t>
      </w:r>
    </w:p>
    <w:p>
      <w:pPr>
        <w:pStyle w:val="Normal"/>
        <w:tabs>
          <w:tab w:val="clear" w:pos="708"/>
          <w:tab w:val="left" w:pos="0" w:leader="none"/>
        </w:tabs>
        <w:ind w:left="360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4. Перечень мероприятий подпрограммы </w:t>
      </w:r>
    </w:p>
    <w:p>
      <w:pPr>
        <w:pStyle w:val="Normal"/>
        <w:tabs>
          <w:tab w:val="clear" w:pos="708"/>
          <w:tab w:val="left" w:pos="0" w:leader="none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3</w:t>
      </w:r>
    </w:p>
    <w:tbl>
      <w:tblPr>
        <w:tblStyle w:val="Style_4"/>
        <w:tblW w:w="14994" w:type="dxa"/>
        <w:jc w:val="left"/>
        <w:tblInd w:w="0" w:type="dxa"/>
        <w:tblCellMar>
          <w:top w:w="0" w:type="dxa"/>
          <w:left w:w="83" w:type="dxa"/>
          <w:bottom w:w="0" w:type="dxa"/>
          <w:right w:w="108" w:type="dxa"/>
        </w:tblCellMar>
      </w:tblPr>
      <w:tblGrid>
        <w:gridCol w:w="511"/>
        <w:gridCol w:w="4612"/>
        <w:gridCol w:w="1139"/>
        <w:gridCol w:w="2379"/>
        <w:gridCol w:w="2932"/>
        <w:gridCol w:w="3420"/>
      </w:tblGrid>
      <w:tr>
        <w:trPr>
          <w:trHeight w:val="663" w:hRule="atLeast"/>
        </w:trPr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 xml:space="preserve">№ </w:t>
            </w:r>
            <w:r>
              <w:rPr>
                <w:rFonts w:ascii="Times New Roman" w:hAnsi="Times New Roman"/>
                <w:b/>
                <w:spacing w:val="0"/>
                <w:sz w:val="20"/>
              </w:rPr>
              <w:t>п/п</w:t>
            </w:r>
          </w:p>
        </w:tc>
        <w:tc>
          <w:tcPr>
            <w:tcW w:w="4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Наименование мероприятия</w:t>
            </w: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Сроки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исполнения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(годы)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Объем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финансиро-вания,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тыс. руб.</w:t>
            </w:r>
          </w:p>
        </w:tc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Ответственные исполнители</w:t>
            </w:r>
          </w:p>
        </w:tc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Ожидаемые результаты</w:t>
            </w:r>
          </w:p>
        </w:tc>
      </w:tr>
      <w:tr>
        <w:trPr>
          <w:trHeight w:val="513" w:hRule="atLeast"/>
        </w:trPr>
        <w:tc>
          <w:tcPr>
            <w:tcW w:w="14993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/>
            </w:pPr>
            <w:r>
              <w:rPr>
                <w:rFonts w:ascii="Times New Roman" w:hAnsi="Times New Roman"/>
                <w:b/>
                <w:i/>
                <w:spacing w:val="0"/>
                <w:sz w:val="24"/>
              </w:rPr>
              <w:t>Раздел: «</w:t>
            </w:r>
            <w:r>
              <w:rPr>
                <w:rFonts w:ascii="Times New Roman" w:hAnsi="Times New Roman"/>
                <w:b/>
                <w:i/>
                <w:spacing w:val="2"/>
                <w:sz w:val="24"/>
              </w:rPr>
              <w:t>Создание условий для обеспечения населения Ильинского муниципального района услугами холодного водоснабжения и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/>
            </w:pPr>
            <w:r>
              <w:rPr>
                <w:rFonts w:ascii="Times New Roman" w:hAnsi="Times New Roman"/>
                <w:b/>
                <w:i/>
                <w:spacing w:val="2"/>
                <w:sz w:val="24"/>
              </w:rPr>
              <w:t>водоотведения</w:t>
            </w:r>
            <w:r>
              <w:rPr>
                <w:rFonts w:ascii="Times New Roman" w:hAnsi="Times New Roman"/>
                <w:b/>
                <w:i/>
                <w:spacing w:val="0"/>
                <w:sz w:val="24"/>
              </w:rPr>
              <w:t>»</w:t>
            </w:r>
          </w:p>
        </w:tc>
      </w:tr>
      <w:tr>
        <w:trPr>
          <w:trHeight w:val="816" w:hRule="atLeast"/>
        </w:trPr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1.</w:t>
            </w:r>
          </w:p>
        </w:tc>
        <w:tc>
          <w:tcPr>
            <w:tcW w:w="4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Текущий ремонт 3-х колодцев по адресам: д. Горяшино; д. Сениха; д. Коварчино, ул. Лесная</w:t>
            </w: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2022 г.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434,150 в т.ч.: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200,0 -обл. бюджет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234,15-мест. бюджет</w:t>
            </w:r>
          </w:p>
        </w:tc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Администрация Ильинского муниципального района</w:t>
            </w:r>
          </w:p>
        </w:tc>
        <w:tc>
          <w:tcPr>
            <w:tcW w:w="342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Бесперебойное водоснабжение населения Ильинского муниципального района питьевой водой нормативного качества и в достаточном количестве; снижение уровня потерь питьевой воды</w:t>
            </w:r>
          </w:p>
        </w:tc>
      </w:tr>
      <w:tr>
        <w:trPr>
          <w:trHeight w:val="514" w:hRule="atLeast"/>
        </w:trPr>
        <w:tc>
          <w:tcPr>
            <w:tcW w:w="51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2.</w:t>
            </w:r>
          </w:p>
        </w:tc>
        <w:tc>
          <w:tcPr>
            <w:tcW w:w="46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Аварийно-восстановительные работы на водопроводных сетях</w:t>
            </w:r>
          </w:p>
        </w:tc>
        <w:tc>
          <w:tcPr>
            <w:tcW w:w="113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2022 г.</w:t>
            </w:r>
          </w:p>
        </w:tc>
        <w:tc>
          <w:tcPr>
            <w:tcW w:w="23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500,0</w:t>
            </w:r>
          </w:p>
        </w:tc>
        <w:tc>
          <w:tcPr>
            <w:tcW w:w="29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МУП РМПО ЖКХ.</w:t>
            </w:r>
          </w:p>
        </w:tc>
        <w:tc>
          <w:tcPr>
            <w:tcW w:w="342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1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3.</w:t>
            </w:r>
          </w:p>
        </w:tc>
        <w:tc>
          <w:tcPr>
            <w:tcW w:w="46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Строительство водозаборной скважины (с. Аньково, ул. Строительная)</w:t>
            </w:r>
          </w:p>
        </w:tc>
        <w:tc>
          <w:tcPr>
            <w:tcW w:w="113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2022 г.</w:t>
            </w:r>
          </w:p>
        </w:tc>
        <w:tc>
          <w:tcPr>
            <w:tcW w:w="23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127,86832</w:t>
            </w:r>
          </w:p>
        </w:tc>
        <w:tc>
          <w:tcPr>
            <w:tcW w:w="29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Администрация Ильинского муниципального района</w:t>
            </w:r>
          </w:p>
        </w:tc>
        <w:tc>
          <w:tcPr>
            <w:tcW w:w="342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1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4.</w:t>
            </w:r>
          </w:p>
        </w:tc>
        <w:tc>
          <w:tcPr>
            <w:tcW w:w="46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Замена арматуры на арт. Скважинах (2 шт с.Игрищи, д. Щенниково)</w:t>
            </w:r>
          </w:p>
        </w:tc>
        <w:tc>
          <w:tcPr>
            <w:tcW w:w="113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2022 г.</w:t>
            </w:r>
          </w:p>
        </w:tc>
        <w:tc>
          <w:tcPr>
            <w:tcW w:w="23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100,0</w:t>
            </w:r>
          </w:p>
        </w:tc>
        <w:tc>
          <w:tcPr>
            <w:tcW w:w="29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МУП РМПО ЖКХ.</w:t>
            </w:r>
          </w:p>
        </w:tc>
        <w:tc>
          <w:tcPr>
            <w:tcW w:w="342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1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5.</w:t>
            </w:r>
          </w:p>
        </w:tc>
        <w:tc>
          <w:tcPr>
            <w:tcW w:w="46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-114" w:hanging="0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Замена эл. Проводки и установка частотных преобразователей на арт. скважинах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>(с.Исаевское, д. Щенниково)</w:t>
            </w:r>
          </w:p>
        </w:tc>
        <w:tc>
          <w:tcPr>
            <w:tcW w:w="113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2022 г.</w:t>
            </w:r>
          </w:p>
        </w:tc>
        <w:tc>
          <w:tcPr>
            <w:tcW w:w="23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200,0</w:t>
            </w:r>
          </w:p>
        </w:tc>
        <w:tc>
          <w:tcPr>
            <w:tcW w:w="29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МУП РМПО ЖКХ</w:t>
            </w:r>
          </w:p>
        </w:tc>
        <w:tc>
          <w:tcPr>
            <w:tcW w:w="342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1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6.</w:t>
            </w:r>
          </w:p>
        </w:tc>
        <w:tc>
          <w:tcPr>
            <w:tcW w:w="46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-114" w:hanging="0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Приведение в соответствии оголовков на арт. скважинах (2 шт.)</w:t>
            </w:r>
          </w:p>
        </w:tc>
        <w:tc>
          <w:tcPr>
            <w:tcW w:w="113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2022 г.</w:t>
            </w:r>
          </w:p>
        </w:tc>
        <w:tc>
          <w:tcPr>
            <w:tcW w:w="23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150,0</w:t>
            </w:r>
          </w:p>
        </w:tc>
        <w:tc>
          <w:tcPr>
            <w:tcW w:w="29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МУП РМПО ЖКХ</w:t>
            </w:r>
          </w:p>
        </w:tc>
        <w:tc>
          <w:tcPr>
            <w:tcW w:w="342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1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7.</w:t>
            </w:r>
          </w:p>
        </w:tc>
        <w:tc>
          <w:tcPr>
            <w:tcW w:w="46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Ремонт и чистка шахтных водоразборных колодцев (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>с. Исаевское,д.Свечково)</w:t>
            </w:r>
          </w:p>
        </w:tc>
        <w:tc>
          <w:tcPr>
            <w:tcW w:w="113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2022 г.</w:t>
            </w:r>
          </w:p>
        </w:tc>
        <w:tc>
          <w:tcPr>
            <w:tcW w:w="23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329,0</w:t>
            </w:r>
          </w:p>
        </w:tc>
        <w:tc>
          <w:tcPr>
            <w:tcW w:w="29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МУП РМПО ЖКХ</w:t>
            </w:r>
          </w:p>
        </w:tc>
        <w:tc>
          <w:tcPr>
            <w:tcW w:w="342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1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8.</w:t>
            </w:r>
          </w:p>
        </w:tc>
        <w:tc>
          <w:tcPr>
            <w:tcW w:w="46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Замена водопроводных линий от д. Торлыга до д. Щенниково</w:t>
            </w:r>
          </w:p>
        </w:tc>
        <w:tc>
          <w:tcPr>
            <w:tcW w:w="113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2022 г.</w:t>
            </w:r>
          </w:p>
        </w:tc>
        <w:tc>
          <w:tcPr>
            <w:tcW w:w="23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192,16058</w:t>
            </w:r>
          </w:p>
        </w:tc>
        <w:tc>
          <w:tcPr>
            <w:tcW w:w="29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МУП РМПО ЖКХ</w:t>
            </w:r>
          </w:p>
        </w:tc>
        <w:tc>
          <w:tcPr>
            <w:tcW w:w="342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1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9.</w:t>
            </w:r>
          </w:p>
        </w:tc>
        <w:tc>
          <w:tcPr>
            <w:tcW w:w="46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Обустройство зон санитарной охраны арт. Скважин (д. Щенниково, с.Исаевское)</w:t>
            </w:r>
          </w:p>
        </w:tc>
        <w:tc>
          <w:tcPr>
            <w:tcW w:w="113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2022 г.</w:t>
            </w:r>
          </w:p>
        </w:tc>
        <w:tc>
          <w:tcPr>
            <w:tcW w:w="23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250,0</w:t>
            </w:r>
          </w:p>
        </w:tc>
        <w:tc>
          <w:tcPr>
            <w:tcW w:w="29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МУП РМПО ЖКХ</w:t>
            </w:r>
          </w:p>
        </w:tc>
        <w:tc>
          <w:tcPr>
            <w:tcW w:w="342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1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10.</w:t>
            </w:r>
          </w:p>
        </w:tc>
        <w:tc>
          <w:tcPr>
            <w:tcW w:w="46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Приобретение глубинных насосов</w:t>
            </w:r>
          </w:p>
        </w:tc>
        <w:tc>
          <w:tcPr>
            <w:tcW w:w="113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2022 г.</w:t>
            </w:r>
          </w:p>
        </w:tc>
        <w:tc>
          <w:tcPr>
            <w:tcW w:w="23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90,00068</w:t>
            </w:r>
          </w:p>
        </w:tc>
        <w:tc>
          <w:tcPr>
            <w:tcW w:w="29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МУП РМПО ЖКХ</w:t>
            </w:r>
          </w:p>
        </w:tc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</w:r>
          </w:p>
        </w:tc>
      </w:tr>
      <w:tr>
        <w:trPr/>
        <w:tc>
          <w:tcPr>
            <w:tcW w:w="51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6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13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2022</w:t>
            </w:r>
          </w:p>
        </w:tc>
        <w:tc>
          <w:tcPr>
            <w:tcW w:w="23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2373,17958 в т.ч.: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200,00 - обл.бюджет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2173,17958-мест. бюджет</w:t>
            </w:r>
          </w:p>
        </w:tc>
        <w:tc>
          <w:tcPr>
            <w:tcW w:w="29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34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</w:r>
          </w:p>
        </w:tc>
      </w:tr>
      <w:tr>
        <w:trPr/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1.</w:t>
            </w:r>
          </w:p>
        </w:tc>
        <w:tc>
          <w:tcPr>
            <w:tcW w:w="4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Строительство водозаборной скважины (с. Аньково, ул. Строительная)</w:t>
            </w: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2023 г.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sz w:val="24"/>
              </w:rPr>
              <w:t>4 954,50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в т.ч.: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4706,775- обл. бюджет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247,725- мест. бюджет</w:t>
            </w:r>
          </w:p>
        </w:tc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Администрация Ильинского муниципального района</w:t>
            </w:r>
          </w:p>
        </w:tc>
        <w:tc>
          <w:tcPr>
            <w:tcW w:w="342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бесперебойное водоснабжение населения Ильинского муниципального района питьевой водой нормативного качества и в достаточном количестве; снижение уровня потерь питьевой воды</w:t>
            </w:r>
          </w:p>
        </w:tc>
      </w:tr>
      <w:tr>
        <w:trPr/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2.</w:t>
            </w:r>
          </w:p>
        </w:tc>
        <w:tc>
          <w:tcPr>
            <w:tcW w:w="4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Замена проводки и установка частотных преобразователей на арт. скважинах с. Игрищи, д. Ракшино, д. Счастливка</w:t>
            </w: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2023 г.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100,0</w:t>
            </w:r>
          </w:p>
        </w:tc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МУП РМПО ЖКХ</w:t>
            </w:r>
          </w:p>
        </w:tc>
        <w:tc>
          <w:tcPr>
            <w:tcW w:w="342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3.</w:t>
            </w:r>
          </w:p>
        </w:tc>
        <w:tc>
          <w:tcPr>
            <w:tcW w:w="4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Аварийно-востановительные работы на водопроводных сетях Аньковского, Ивашевского, Щенниковского Исаевского сельских поселений.</w:t>
            </w: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2023 г.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750,0</w:t>
            </w:r>
          </w:p>
        </w:tc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МУП РМПО ЖКХ</w:t>
            </w:r>
          </w:p>
        </w:tc>
        <w:tc>
          <w:tcPr>
            <w:tcW w:w="342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4.</w:t>
            </w:r>
          </w:p>
        </w:tc>
        <w:tc>
          <w:tcPr>
            <w:tcW w:w="4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Замена водопроводной линии с. Аньково ул. Строительная (80 метров)</w:t>
            </w: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2023 г.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100,0</w:t>
            </w:r>
          </w:p>
        </w:tc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МУП РМПО ЖКХ</w:t>
            </w:r>
          </w:p>
        </w:tc>
        <w:tc>
          <w:tcPr>
            <w:tcW w:w="342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5.</w:t>
            </w:r>
          </w:p>
        </w:tc>
        <w:tc>
          <w:tcPr>
            <w:tcW w:w="4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Замена арматуры на арт. скважинах (2шт) д. Счастливка, д. Ракшино</w:t>
            </w: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 xml:space="preserve">2023 г. 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100,0</w:t>
            </w:r>
          </w:p>
        </w:tc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МУП РМПО ЖКХ</w:t>
            </w:r>
          </w:p>
        </w:tc>
        <w:tc>
          <w:tcPr>
            <w:tcW w:w="342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6.</w:t>
            </w:r>
          </w:p>
        </w:tc>
        <w:tc>
          <w:tcPr>
            <w:tcW w:w="4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Приведение в соответствии оголовков колонн на арт. скважинах  д. Счастливка, д. Ракшино</w:t>
            </w: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2023 г.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100,0</w:t>
            </w:r>
          </w:p>
        </w:tc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МУП РМПО ЖКХ</w:t>
            </w:r>
          </w:p>
        </w:tc>
        <w:tc>
          <w:tcPr>
            <w:tcW w:w="342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7.</w:t>
            </w:r>
          </w:p>
        </w:tc>
        <w:tc>
          <w:tcPr>
            <w:tcW w:w="4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Ремонт и чистка водопроводных колодцев(д.Антушково ул. Зеленая; д.Щенниково ул. Молодежная-замена верха; д. Щенниково ул.Советская д.1;с. Ивашево ул. Красная д.9-замена верха; с.Коварчино, ул. Луговая – замена верха)</w:t>
            </w: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2023 г.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400,0</w:t>
            </w:r>
          </w:p>
        </w:tc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МУП РМПО ЖКХ</w:t>
            </w:r>
          </w:p>
        </w:tc>
        <w:tc>
          <w:tcPr>
            <w:tcW w:w="342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00" w:hRule="atLeast"/>
        </w:trPr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8.</w:t>
            </w:r>
          </w:p>
        </w:tc>
        <w:tc>
          <w:tcPr>
            <w:tcW w:w="4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Приобретение глубинных насосов</w:t>
            </w: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 xml:space="preserve">2023 г. 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90,0</w:t>
            </w:r>
          </w:p>
        </w:tc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МУП РМПО ЖКХ</w:t>
            </w:r>
          </w:p>
        </w:tc>
        <w:tc>
          <w:tcPr>
            <w:tcW w:w="342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9.</w:t>
            </w:r>
          </w:p>
        </w:tc>
        <w:tc>
          <w:tcPr>
            <w:tcW w:w="4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Замена водопроводной линии в д. Щенниково 750 м.</w:t>
            </w: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 xml:space="preserve">2023 г. 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560,0</w:t>
            </w:r>
          </w:p>
        </w:tc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МУП РМПО ЖКХ</w:t>
            </w:r>
          </w:p>
        </w:tc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</w:r>
          </w:p>
        </w:tc>
      </w:tr>
      <w:tr>
        <w:trPr/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10.</w:t>
            </w:r>
          </w:p>
        </w:tc>
        <w:tc>
          <w:tcPr>
            <w:tcW w:w="4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Обустройство ЗСО 1 пояса арт. скважин (с. Исаевское, с. Ивашево)</w:t>
            </w: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2023 г.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100,0</w:t>
            </w:r>
          </w:p>
        </w:tc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МУП РМПО ЖКХ</w:t>
            </w:r>
          </w:p>
        </w:tc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</w:r>
          </w:p>
        </w:tc>
      </w:tr>
      <w:tr>
        <w:trPr/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2023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sz w:val="24"/>
              </w:rPr>
              <w:t>7254,5 в т.ч.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sz w:val="24"/>
              </w:rPr>
              <w:t>4706,775 – обл. бюдж.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sz w:val="24"/>
              </w:rPr>
              <w:t>2547,725 – мест. бюдж.</w:t>
            </w:r>
          </w:p>
        </w:tc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/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1.</w:t>
            </w:r>
          </w:p>
        </w:tc>
        <w:tc>
          <w:tcPr>
            <w:tcW w:w="4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Мероприятия по созданию условий для обеспечения населения Ильинского городского поселения услугами холодного водоснабжения, водоотведения и очистке сточных вод</w:t>
            </w: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2024 г.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2300,0</w:t>
            </w:r>
          </w:p>
        </w:tc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МУП РМПО ЖКХ.</w:t>
            </w:r>
          </w:p>
        </w:tc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z w:val="20"/>
                <w:highlight w:val="white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  <w:highlight w:val="white"/>
              </w:rPr>
              <w:t>бесперебойное водоснабжение населения Ильинского муниципального района питьевой водой нормативного качества и в достаточном количестве; снижение уровня потерь питьевой воды</w:t>
            </w:r>
          </w:p>
        </w:tc>
      </w:tr>
      <w:tr>
        <w:trPr/>
        <w:tc>
          <w:tcPr>
            <w:tcW w:w="51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6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13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2024</w:t>
            </w:r>
          </w:p>
        </w:tc>
        <w:tc>
          <w:tcPr>
            <w:tcW w:w="23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2300,0</w:t>
            </w:r>
          </w:p>
        </w:tc>
        <w:tc>
          <w:tcPr>
            <w:tcW w:w="29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4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/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1.</w:t>
            </w:r>
          </w:p>
        </w:tc>
        <w:tc>
          <w:tcPr>
            <w:tcW w:w="4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Мероприятия по созданию условий для обеспечения населения Ильинского городского поселения услугами холодного водоснабжения, водоотведения и очистке сточных вод</w:t>
            </w: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2025 г.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2300,0</w:t>
            </w:r>
          </w:p>
        </w:tc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0"/>
                <w:sz w:val="24"/>
              </w:rPr>
              <w:t>МУП РМПО ЖКХ.</w:t>
            </w:r>
          </w:p>
        </w:tc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z w:val="20"/>
                <w:highlight w:val="white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  <w:highlight w:val="white"/>
              </w:rPr>
              <w:t>бесперебойное водоснабжение населения Ильинского муниципального района питьевой водой нормативного качества и в достаточном количестве; снижение уровня потерь питьевой воды</w:t>
            </w:r>
          </w:p>
        </w:tc>
      </w:tr>
      <w:tr>
        <w:trPr>
          <w:trHeight w:val="311" w:hRule="atLeast"/>
        </w:trPr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4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2025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2300,0</w:t>
            </w:r>
          </w:p>
        </w:tc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highlight w:val="white"/>
              </w:rPr>
            </w:r>
          </w:p>
        </w:tc>
      </w:tr>
      <w:tr>
        <w:trPr/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4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spacing w:val="0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Итого по подпрограмме:</w:t>
            </w:r>
          </w:p>
        </w:tc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pacing w:val="0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2022-2025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sz w:val="24"/>
              </w:rPr>
              <w:t>14227,67958 в т.ч.: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sz w:val="24"/>
              </w:rPr>
              <w:t>Обл. бюджет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sz w:val="24"/>
              </w:rPr>
              <w:t>4906,775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sz w:val="24"/>
              </w:rPr>
              <w:t>мест. бюджет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sz w:val="24"/>
              </w:rPr>
              <w:t>9320,90458</w:t>
            </w:r>
          </w:p>
        </w:tc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highlight w:val="white"/>
              </w:rPr>
            </w:r>
          </w:p>
        </w:tc>
      </w:tr>
    </w:tbl>
    <w:p>
      <w:pPr>
        <w:sectPr>
          <w:type w:val="nextPage"/>
          <w:pgSz w:orient="landscape" w:w="16838" w:h="11906"/>
          <w:pgMar w:left="709" w:right="1134" w:header="0" w:top="1418" w:footer="0" w:bottom="1135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ConsPlusNormal1"/>
        <w:jc w:val="center"/>
        <w:rPr>
          <w:b/>
          <w:b/>
          <w:sz w:val="24"/>
        </w:rPr>
      </w:pPr>
      <w:r>
        <w:rPr>
          <w:b/>
          <w:sz w:val="24"/>
        </w:rPr>
        <w:t>5. Ресурсное обеспечение подпрограммы</w:t>
      </w:r>
    </w:p>
    <w:p>
      <w:pPr>
        <w:pStyle w:val="Normal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4</w:t>
      </w:r>
    </w:p>
    <w:tbl>
      <w:tblPr>
        <w:tblStyle w:val="Style_4"/>
        <w:tblW w:w="9403" w:type="dxa"/>
        <w:jc w:val="left"/>
        <w:tblInd w:w="0" w:type="dxa"/>
        <w:tblCellMar>
          <w:top w:w="0" w:type="dxa"/>
          <w:left w:w="88" w:type="dxa"/>
          <w:bottom w:w="0" w:type="dxa"/>
          <w:right w:w="108" w:type="dxa"/>
        </w:tblCellMar>
      </w:tblPr>
      <w:tblGrid>
        <w:gridCol w:w="2203"/>
        <w:gridCol w:w="1740"/>
        <w:gridCol w:w="1740"/>
        <w:gridCol w:w="1814"/>
        <w:gridCol w:w="1906"/>
      </w:tblGrid>
      <w:tr>
        <w:trPr>
          <w:trHeight w:val="478" w:hRule="atLeast"/>
        </w:trPr>
        <w:tc>
          <w:tcPr>
            <w:tcW w:w="2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0"/>
                <w:sz w:val="20"/>
              </w:rPr>
              <w:t>Направления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0"/>
                <w:sz w:val="20"/>
              </w:rPr>
              <w:t>финансирования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0"/>
                <w:sz w:val="20"/>
              </w:rPr>
              <w:t>и источники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год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год</w:t>
            </w:r>
          </w:p>
        </w:tc>
        <w:tc>
          <w:tcPr>
            <w:tcW w:w="1814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год</w:t>
            </w:r>
          </w:p>
        </w:tc>
        <w:tc>
          <w:tcPr>
            <w:tcW w:w="1906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2025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0"/>
                <w:sz w:val="20"/>
              </w:rPr>
              <w:t>год</w:t>
            </w:r>
          </w:p>
        </w:tc>
      </w:tr>
      <w:tr>
        <w:trPr/>
        <w:tc>
          <w:tcPr>
            <w:tcW w:w="2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b/>
                <w:b/>
                <w:sz w:val="24"/>
              </w:rPr>
            </w:pPr>
            <w:r>
              <w:rPr>
                <w:b/>
                <w:spacing w:val="0"/>
                <w:sz w:val="24"/>
              </w:rPr>
              <w:t>ВСЕГО: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0"/>
                <w:sz w:val="24"/>
              </w:rPr>
              <w:t>2373,17958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/>
                <w:color w:val="000000"/>
                <w:spacing w:val="0"/>
                <w:sz w:val="24"/>
              </w:rPr>
              <w:t>7254,5</w:t>
            </w:r>
          </w:p>
        </w:tc>
        <w:tc>
          <w:tcPr>
            <w:tcW w:w="1814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0"/>
                <w:sz w:val="24"/>
              </w:rPr>
              <w:t>2300,0</w:t>
            </w:r>
          </w:p>
        </w:tc>
        <w:tc>
          <w:tcPr>
            <w:tcW w:w="1906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0"/>
                <w:sz w:val="24"/>
              </w:rPr>
              <w:t>2300,0</w:t>
            </w:r>
          </w:p>
        </w:tc>
      </w:tr>
      <w:tr>
        <w:trPr/>
        <w:tc>
          <w:tcPr>
            <w:tcW w:w="9403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i/>
                <w:i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0"/>
                <w:sz w:val="24"/>
              </w:rPr>
              <w:t xml:space="preserve">Создание условий для более эффективной работы </w:t>
            </w:r>
            <w:r>
              <w:rPr>
                <w:rFonts w:ascii="Times New Roman" w:hAnsi="Times New Roman"/>
                <w:b/>
                <w:i/>
                <w:spacing w:val="2"/>
                <w:sz w:val="24"/>
              </w:rPr>
              <w:t>холодного водоснабжения, водоотведения и очистке сточных вод</w:t>
            </w:r>
          </w:p>
        </w:tc>
      </w:tr>
      <w:tr>
        <w:trPr/>
        <w:tc>
          <w:tcPr>
            <w:tcW w:w="2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sz w:val="24"/>
              </w:rPr>
              <w:t>местный бюджет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center"/>
              <w:rPr>
                <w:b w:val="false"/>
                <w:b w:val="false"/>
              </w:rPr>
            </w:pPr>
            <w:r>
              <w:rPr>
                <w:rFonts w:ascii="Times New Roman" w:hAnsi="Times New Roman"/>
                <w:b w:val="false"/>
                <w:spacing w:val="0"/>
                <w:sz w:val="24"/>
              </w:rPr>
              <w:t>2173,17958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b w:val="false"/>
                <w:b w:val="false"/>
              </w:rPr>
            </w:pPr>
            <w:r>
              <w:rPr>
                <w:rFonts w:ascii="Times New Roman" w:hAnsi="Times New Roman"/>
                <w:b w:val="false"/>
                <w:color w:val="000000"/>
                <w:spacing w:val="0"/>
                <w:sz w:val="24"/>
              </w:rPr>
              <w:t>2547,725</w:t>
            </w:r>
          </w:p>
        </w:tc>
        <w:tc>
          <w:tcPr>
            <w:tcW w:w="1814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pacing w:val="0"/>
                <w:sz w:val="24"/>
              </w:rPr>
              <w:t>2300,0</w:t>
            </w:r>
          </w:p>
        </w:tc>
        <w:tc>
          <w:tcPr>
            <w:tcW w:w="1906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pacing w:val="0"/>
                <w:sz w:val="24"/>
              </w:rPr>
              <w:t>2300,0</w:t>
            </w:r>
          </w:p>
        </w:tc>
      </w:tr>
      <w:tr>
        <w:trPr/>
        <w:tc>
          <w:tcPr>
            <w:tcW w:w="2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sz w:val="24"/>
              </w:rPr>
              <w:t>областной бюджет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center"/>
              <w:rPr>
                <w:b w:val="false"/>
                <w:b w:val="false"/>
              </w:rPr>
            </w:pPr>
            <w:r>
              <w:rPr>
                <w:rFonts w:ascii="Times New Roman" w:hAnsi="Times New Roman"/>
                <w:b w:val="false"/>
                <w:spacing w:val="0"/>
                <w:sz w:val="24"/>
              </w:rPr>
              <w:t>200,00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b w:val="false"/>
                <w:b w:val="false"/>
              </w:rPr>
            </w:pPr>
            <w:r>
              <w:rPr>
                <w:rFonts w:ascii="Times New Roman" w:hAnsi="Times New Roman"/>
                <w:b w:val="false"/>
                <w:color w:val="000000"/>
                <w:spacing w:val="0"/>
                <w:sz w:val="24"/>
              </w:rPr>
              <w:t>4706,775</w:t>
            </w:r>
          </w:p>
        </w:tc>
        <w:tc>
          <w:tcPr>
            <w:tcW w:w="1814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pacing w:val="0"/>
                <w:sz w:val="24"/>
              </w:rPr>
              <w:t>0,0</w:t>
            </w:r>
          </w:p>
        </w:tc>
        <w:tc>
          <w:tcPr>
            <w:tcW w:w="1906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pacing w:val="0"/>
                <w:sz w:val="24"/>
              </w:rPr>
              <w:t>0,0</w:t>
            </w:r>
          </w:p>
        </w:tc>
      </w:tr>
    </w:tbl>
    <w:p>
      <w:pPr>
        <w:pStyle w:val="Normal"/>
        <w:jc w:val="right"/>
        <w:rPr>
          <w:rFonts w:ascii="Times New Roman" w:hAnsi="Times New Roman"/>
          <w:b/>
          <w:b/>
          <w:sz w:val="16"/>
        </w:rPr>
      </w:pPr>
      <w:r>
        <w:rPr>
          <w:rFonts w:ascii="Times New Roman" w:hAnsi="Times New Roman"/>
          <w:b/>
          <w:sz w:val="16"/>
        </w:rPr>
      </w:r>
    </w:p>
    <w:p>
      <w:pPr>
        <w:pStyle w:val="Normal"/>
        <w:rPr>
          <w:sz w:val="4"/>
        </w:rPr>
      </w:pPr>
      <w:r>
        <w:rPr/>
      </w:r>
    </w:p>
    <w:sectPr>
      <w:type w:val="nextPage"/>
      <w:pgSz w:w="11906" w:h="16838"/>
      <w:pgMar w:left="1418" w:right="991" w:header="0" w:top="1134" w:footer="0" w:bottom="709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Bookman Old Style">
    <w:charset w:val="cc"/>
    <w:family w:val="roman"/>
    <w:pitch w:val="variable"/>
  </w:font>
  <w:font w:name="XO Thames"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1212" w:hanging="720"/>
      </w:pPr>
    </w:lvl>
    <w:lvl w:ilvl="3">
      <w:start w:val="1"/>
      <w:numFmt w:val="decimal"/>
      <w:lvlText w:val="%1.%2.%3.%4."/>
      <w:lvlJc w:val="left"/>
      <w:pPr>
        <w:ind w:left="1638" w:hanging="1080"/>
      </w:pPr>
    </w:lvl>
    <w:lvl w:ilvl="4">
      <w:start w:val="1"/>
      <w:numFmt w:val="decimal"/>
      <w:lvlText w:val="%1.%2.%3.%4.%5."/>
      <w:lvlJc w:val="left"/>
      <w:pPr>
        <w:ind w:left="1704" w:hanging="1080"/>
      </w:pPr>
    </w:lvl>
    <w:lvl w:ilvl="5">
      <w:start w:val="1"/>
      <w:numFmt w:val="decimal"/>
      <w:lvlText w:val="%1.%2.%3.%4.%5.%6."/>
      <w:lvlJc w:val="left"/>
      <w:pPr>
        <w:ind w:left="2130" w:hanging="1440"/>
      </w:pPr>
    </w:lvl>
    <w:lvl w:ilvl="6">
      <w:start w:val="1"/>
      <w:numFmt w:val="decimal"/>
      <w:lvlText w:val="%1.%2.%3.%4.%5.%6.%7."/>
      <w:lvlJc w:val="left"/>
      <w:pPr>
        <w:ind w:left="2556" w:hanging="1800"/>
      </w:pPr>
    </w:lvl>
    <w:lvl w:ilvl="7">
      <w:start w:val="1"/>
      <w:numFmt w:val="decimal"/>
      <w:lvlText w:val="%1.%2.%3.%4.%5.%6.%7.%8."/>
      <w:lvlJc w:val="left"/>
      <w:pPr>
        <w:ind w:left="2622" w:hanging="1800"/>
      </w:pPr>
    </w:lvl>
    <w:lvl w:ilvl="8">
      <w:start w:val="1"/>
      <w:numFmt w:val="decimal"/>
      <w:lvlText w:val="%1.%2.%3.%4.%5.%6.%7.%8.%9."/>
      <w:lvlJc w:val="left"/>
      <w:pPr>
        <w:ind w:left="3048" w:hanging="2160"/>
      </w:pPr>
    </w:lvl>
  </w:abstractNum>
  <w:abstractNum w:abstractNumId="2">
    <w:lvl w:ilvl="0">
      <w:start w:val="1"/>
      <w:numFmt w:val="decimal"/>
      <w:lvlText w:val="%1."/>
      <w:lvlJc w:val="left"/>
      <w:pPr>
        <w:ind w:left="509" w:hanging="450"/>
      </w:pPr>
    </w:lvl>
    <w:lvl w:ilvl="1">
      <w:start w:val="1"/>
      <w:numFmt w:val="lowerLetter"/>
      <w:lvlText w:val="%2."/>
      <w:lvlJc w:val="left"/>
      <w:pPr>
        <w:ind w:left="1139" w:hanging="360"/>
      </w:pPr>
    </w:lvl>
    <w:lvl w:ilvl="2">
      <w:start w:val="1"/>
      <w:numFmt w:val="lowerRoman"/>
      <w:lvlText w:val="%3."/>
      <w:lvlJc w:val="right"/>
      <w:pPr>
        <w:ind w:left="1859" w:hanging="180"/>
      </w:pPr>
    </w:lvl>
    <w:lvl w:ilvl="3">
      <w:start w:val="1"/>
      <w:numFmt w:val="decimal"/>
      <w:lvlText w:val="%4."/>
      <w:lvlJc w:val="left"/>
      <w:pPr>
        <w:ind w:left="2579" w:hanging="360"/>
      </w:pPr>
    </w:lvl>
    <w:lvl w:ilvl="4">
      <w:start w:val="1"/>
      <w:numFmt w:val="lowerLetter"/>
      <w:lvlText w:val="%5."/>
      <w:lvlJc w:val="left"/>
      <w:pPr>
        <w:ind w:left="3299" w:hanging="360"/>
      </w:pPr>
    </w:lvl>
    <w:lvl w:ilvl="5">
      <w:start w:val="1"/>
      <w:numFmt w:val="lowerRoman"/>
      <w:lvlText w:val="%6."/>
      <w:lvlJc w:val="right"/>
      <w:pPr>
        <w:ind w:left="4019" w:hanging="180"/>
      </w:pPr>
    </w:lvl>
    <w:lvl w:ilvl="6">
      <w:start w:val="1"/>
      <w:numFmt w:val="decimal"/>
      <w:lvlText w:val="%7."/>
      <w:lvlJc w:val="left"/>
      <w:pPr>
        <w:ind w:left="4739" w:hanging="360"/>
      </w:pPr>
    </w:lvl>
    <w:lvl w:ilvl="7">
      <w:start w:val="1"/>
      <w:numFmt w:val="lowerLetter"/>
      <w:lvlText w:val="%8."/>
      <w:lvlJc w:val="left"/>
      <w:pPr>
        <w:ind w:left="5459" w:hanging="360"/>
      </w:pPr>
    </w:lvl>
    <w:lvl w:ilvl="8">
      <w:start w:val="1"/>
      <w:numFmt w:val="lowerRoman"/>
      <w:lvlText w:val="%9."/>
      <w:lvlJc w:val="right"/>
      <w:pPr>
        <w:ind w:left="6179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75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Mangal" w:asciiTheme="minorAscii" w:hAnsiTheme="minorHAnsi"/>
        <w:color w:val="000000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4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link w:val="Style_1_ch"/>
    <w:uiPriority w:val="0"/>
    <w:qFormat/>
    <w:pPr>
      <w:widowControl/>
      <w:bidi w:val="0"/>
      <w:spacing w:lineRule="auto" w:line="240" w:before="0" w:after="0"/>
      <w:ind w:left="0" w:right="0" w:hanging="0"/>
      <w:jc w:val="both"/>
    </w:pPr>
    <w:rPr>
      <w:rFonts w:ascii="Bookman Old Style" w:hAnsi="Bookman Old Style" w:eastAsia="NSimSun" w:cs="Mangal"/>
      <w:color w:val="00000A"/>
      <w:spacing w:val="0"/>
      <w:kern w:val="0"/>
      <w:sz w:val="28"/>
      <w:szCs w:val="20"/>
      <w:lang w:val="ru-RU" w:eastAsia="zh-CN" w:bidi="hi-IN"/>
    </w:rPr>
  </w:style>
  <w:style w:type="paragraph" w:styleId="1">
    <w:name w:val="Heading 1"/>
    <w:next w:val="Normal"/>
    <w:link w:val="Style_57_ch"/>
    <w:qFormat/>
    <w:pPr>
      <w:widowControl/>
      <w:bidi w:val="0"/>
      <w:spacing w:lineRule="auto" w:line="240" w:before="0" w:after="0"/>
      <w:ind w:left="0" w:right="0" w:hanging="0"/>
      <w:jc w:val="left"/>
      <w:outlineLvl w:val="0"/>
    </w:pPr>
    <w:rPr>
      <w:rFonts w:ascii="XO Thames" w:hAnsi="XO Thames" w:eastAsia="NSimSun" w:cs="Mangal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2">
    <w:name w:val="Heading 2"/>
    <w:next w:val="Normal"/>
    <w:link w:val="Style_81_ch"/>
    <w:uiPriority w:val="9"/>
    <w:qFormat/>
    <w:pPr>
      <w:widowControl/>
      <w:bidi w:val="0"/>
      <w:spacing w:lineRule="auto" w:line="240" w:before="0" w:after="0"/>
      <w:ind w:left="0" w:right="0" w:hanging="0"/>
      <w:jc w:val="left"/>
      <w:outlineLvl w:val="1"/>
    </w:pPr>
    <w:rPr>
      <w:rFonts w:ascii="XO Thames" w:hAnsi="XO Thames" w:eastAsia="NSimSun" w:cs="Mangal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3">
    <w:name w:val="Heading 3"/>
    <w:next w:val="Normal"/>
    <w:link w:val="Style_63_ch"/>
    <w:qFormat/>
    <w:pPr>
      <w:widowControl/>
      <w:bidi w:val="0"/>
      <w:spacing w:lineRule="auto" w:line="240" w:before="0" w:after="0"/>
      <w:ind w:left="0" w:right="0" w:hanging="0"/>
      <w:jc w:val="left"/>
      <w:outlineLvl w:val="2"/>
    </w:pPr>
    <w:rPr>
      <w:rFonts w:ascii="XO Thames" w:hAnsi="XO Thames" w:eastAsia="NSimSun" w:cs="Mangal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4">
    <w:name w:val="Heading 4"/>
    <w:next w:val="Normal"/>
    <w:link w:val="Style_80_ch"/>
    <w:uiPriority w:val="9"/>
    <w:qFormat/>
    <w:pPr>
      <w:widowControl/>
      <w:bidi w:val="0"/>
      <w:spacing w:lineRule="auto" w:line="240" w:before="0" w:after="0"/>
      <w:ind w:left="0" w:right="0" w:hanging="0"/>
      <w:jc w:val="left"/>
      <w:outlineLvl w:val="3"/>
    </w:pPr>
    <w:rPr>
      <w:rFonts w:ascii="XO Thames" w:hAnsi="XO Thames" w:eastAsia="NSimSun" w:cs="Mangal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5">
    <w:name w:val="Heading 5"/>
    <w:next w:val="Normal"/>
    <w:link w:val="Style_40_ch"/>
    <w:uiPriority w:val="9"/>
    <w:qFormat/>
    <w:pPr>
      <w:widowControl/>
      <w:bidi w:val="0"/>
      <w:spacing w:lineRule="auto" w:line="240" w:before="0" w:after="0"/>
      <w:ind w:left="0" w:right="0" w:hanging="0"/>
      <w:jc w:val="left"/>
      <w:outlineLvl w:val="4"/>
    </w:pPr>
    <w:rPr>
      <w:rFonts w:ascii="XO Thames" w:hAnsi="XO Thames" w:eastAsia="NSimSun" w:cs="Mangal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9">
    <w:name w:val="Contents 9"/>
    <w:link w:val="Style_55"/>
    <w:qFormat/>
    <w:rPr>
      <w:rFonts w:ascii="XO Thames" w:hAnsi="XO Thames"/>
      <w:color w:val="000000"/>
      <w:spacing w:val="0"/>
      <w:sz w:val="28"/>
    </w:rPr>
  </w:style>
  <w:style w:type="character" w:styleId="Indexheading">
    <w:name w:val="index heading"/>
    <w:link w:val="Style_52"/>
    <w:qFormat/>
    <w:rPr/>
  </w:style>
  <w:style w:type="character" w:styleId="Tekstob">
    <w:name w:val="tekstob"/>
    <w:link w:val="Style_11"/>
    <w:qFormat/>
    <w:rPr>
      <w:rFonts w:ascii="Times New Roman" w:hAnsi="Times New Roman"/>
      <w:sz w:val="24"/>
    </w:rPr>
  </w:style>
  <w:style w:type="character" w:styleId="Contents2">
    <w:name w:val="Contents 2"/>
    <w:link w:val="Style_78"/>
    <w:qFormat/>
    <w:rPr>
      <w:rFonts w:ascii="XO Thames" w:hAnsi="XO Thames"/>
      <w:sz w:val="28"/>
    </w:rPr>
  </w:style>
  <w:style w:type="character" w:styleId="Contents5">
    <w:name w:val="Contents 5"/>
    <w:link w:val="Style_66"/>
    <w:qFormat/>
    <w:rPr>
      <w:rFonts w:ascii="XO Thames" w:hAnsi="XO Thames"/>
      <w:color w:val="000000"/>
      <w:spacing w:val="0"/>
      <w:sz w:val="28"/>
    </w:rPr>
  </w:style>
  <w:style w:type="character" w:styleId="Contents4">
    <w:name w:val="Contents 4"/>
    <w:link w:val="Style_20"/>
    <w:qFormat/>
    <w:rPr>
      <w:rFonts w:ascii="XO Thames" w:hAnsi="XO Thames"/>
      <w:sz w:val="28"/>
    </w:rPr>
  </w:style>
  <w:style w:type="character" w:styleId="Style9">
    <w:name w:val="Текст Знак"/>
    <w:basedOn w:val="DefaultParagraphFont"/>
    <w:link w:val="Style_18"/>
    <w:qFormat/>
    <w:rPr>
      <w:rFonts w:ascii="Courier New" w:hAnsi="Courier New"/>
      <w:sz w:val="20"/>
    </w:rPr>
  </w:style>
  <w:style w:type="character" w:styleId="Contents6">
    <w:name w:val="Contents 6"/>
    <w:link w:val="Style_68"/>
    <w:qFormat/>
    <w:rPr>
      <w:rFonts w:ascii="XO Thames" w:hAnsi="XO Thames"/>
      <w:sz w:val="28"/>
    </w:rPr>
  </w:style>
  <w:style w:type="character" w:styleId="Contents7">
    <w:name w:val="Contents 7"/>
    <w:link w:val="Style_72"/>
    <w:qFormat/>
    <w:rPr>
      <w:rFonts w:ascii="XO Thames" w:hAnsi="XO Thames"/>
      <w:sz w:val="28"/>
    </w:rPr>
  </w:style>
  <w:style w:type="character" w:styleId="Title">
    <w:name w:val="Title"/>
    <w:link w:val="Style_79"/>
    <w:qFormat/>
    <w:rPr>
      <w:rFonts w:ascii="XO Thames" w:hAnsi="XO Thames"/>
      <w:b/>
      <w:caps/>
      <w:sz w:val="40"/>
    </w:rPr>
  </w:style>
  <w:style w:type="character" w:styleId="DefaultParagraphFont">
    <w:name w:val="Default Paragraph Font"/>
    <w:link w:val="Style_14"/>
    <w:qFormat/>
    <w:rPr>
      <w:rFonts w:ascii="Calibri" w:hAnsi="Calibri" w:asciiTheme="minorAscii" w:hAnsiTheme="minorHAnsi"/>
      <w:color w:val="000000"/>
      <w:spacing w:val="0"/>
      <w:sz w:val="20"/>
    </w:rPr>
  </w:style>
  <w:style w:type="character" w:styleId="Heading3">
    <w:name w:val="Heading 3"/>
    <w:link w:val="Style_63"/>
    <w:qFormat/>
    <w:rPr>
      <w:rFonts w:ascii="XO Thames" w:hAnsi="XO Thames"/>
      <w:b/>
      <w:sz w:val="26"/>
    </w:rPr>
  </w:style>
  <w:style w:type="character" w:styleId="Textbody">
    <w:name w:val="Text body"/>
    <w:link w:val="Style_34"/>
    <w:qFormat/>
    <w:rPr>
      <w:rFonts w:ascii="Calibri" w:hAnsi="Calibri"/>
      <w:sz w:val="22"/>
    </w:rPr>
  </w:style>
  <w:style w:type="character" w:styleId="Caption">
    <w:name w:val="Caption"/>
    <w:link w:val="Style_76"/>
    <w:qFormat/>
    <w:rPr>
      <w:i/>
      <w:sz w:val="24"/>
    </w:rPr>
  </w:style>
  <w:style w:type="character" w:styleId="Style10">
    <w:name w:val="Содержимое таблицы"/>
    <w:link w:val="Style_58"/>
    <w:qFormat/>
    <w:rPr/>
  </w:style>
  <w:style w:type="character" w:styleId="ConsPlusTitle">
    <w:name w:val="ConsPlusTitle"/>
    <w:link w:val="Style_31"/>
    <w:qFormat/>
    <w:rPr>
      <w:rFonts w:ascii="Arial" w:hAnsi="Arial"/>
      <w:b/>
      <w:color w:val="00000A"/>
    </w:rPr>
  </w:style>
  <w:style w:type="character" w:styleId="Style11">
    <w:name w:val="Указатель"/>
    <w:link w:val="Style_25"/>
    <w:qFormat/>
    <w:rPr/>
  </w:style>
  <w:style w:type="character" w:styleId="BalloonText">
    <w:name w:val="Balloon Text"/>
    <w:link w:val="Style_41"/>
    <w:qFormat/>
    <w:rPr>
      <w:rFonts w:ascii="Tahoma" w:hAnsi="Tahoma"/>
      <w:sz w:val="16"/>
    </w:rPr>
  </w:style>
  <w:style w:type="character" w:styleId="Style12">
    <w:name w:val="Текст выноски Знак"/>
    <w:basedOn w:val="DefaultParagraphFont"/>
    <w:link w:val="Style_45"/>
    <w:qFormat/>
    <w:rPr>
      <w:rFonts w:ascii="Tahoma" w:hAnsi="Tahoma"/>
      <w:sz w:val="16"/>
    </w:rPr>
  </w:style>
  <w:style w:type="character" w:styleId="List">
    <w:name w:val="List"/>
    <w:basedOn w:val="Textbody"/>
    <w:link w:val="Style_82"/>
    <w:qFormat/>
    <w:rPr/>
  </w:style>
  <w:style w:type="character" w:styleId="Contents8">
    <w:name w:val="Contents 8"/>
    <w:link w:val="Style_62"/>
    <w:qFormat/>
    <w:rPr>
      <w:rFonts w:ascii="XO Thames" w:hAnsi="XO Thames"/>
      <w:color w:val="000000"/>
      <w:spacing w:val="0"/>
      <w:sz w:val="28"/>
    </w:rPr>
  </w:style>
  <w:style w:type="character" w:styleId="Style13">
    <w:name w:val="Интернет-ссылка"/>
    <w:link w:val="Style_46"/>
    <w:rPr>
      <w:rFonts w:ascii="Calibri" w:hAnsi="Calibri"/>
      <w:color w:val="0000FF"/>
      <w:spacing w:val="0"/>
      <w:sz w:val="20"/>
      <w:u w:val="single"/>
    </w:rPr>
  </w:style>
  <w:style w:type="character" w:styleId="Heading2">
    <w:name w:val="Heading 2"/>
    <w:link w:val="Style_81"/>
    <w:qFormat/>
    <w:rPr>
      <w:rFonts w:ascii="XO Thames" w:hAnsi="XO Thames"/>
      <w:b/>
      <w:sz w:val="28"/>
    </w:rPr>
  </w:style>
  <w:style w:type="character" w:styleId="ConsPlusCell">
    <w:name w:val="ConsPlusCell"/>
    <w:link w:val="Style_44"/>
    <w:qFormat/>
    <w:rPr>
      <w:rFonts w:ascii="Courier New" w:hAnsi="Courier New"/>
      <w:color w:val="00000A"/>
    </w:rPr>
  </w:style>
  <w:style w:type="character" w:styleId="Contents3">
    <w:name w:val="Contents 3"/>
    <w:link w:val="Style_64"/>
    <w:qFormat/>
    <w:rPr>
      <w:rFonts w:ascii="XO Thames" w:hAnsi="XO Thames"/>
      <w:sz w:val="28"/>
    </w:rPr>
  </w:style>
  <w:style w:type="character" w:styleId="Formattext">
    <w:name w:val="formattext"/>
    <w:link w:val="Style_70"/>
    <w:qFormat/>
    <w:rPr>
      <w:rFonts w:ascii="Times New Roman" w:hAnsi="Times New Roman"/>
      <w:sz w:val="24"/>
    </w:rPr>
  </w:style>
  <w:style w:type="character" w:styleId="Footnote">
    <w:name w:val="Footnote"/>
    <w:link w:val="Style_47"/>
    <w:qFormat/>
    <w:rPr>
      <w:rFonts w:ascii="XO Thames" w:hAnsi="XO Thames"/>
      <w:color w:val="000000"/>
      <w:spacing w:val="0"/>
      <w:sz w:val="22"/>
    </w:rPr>
  </w:style>
  <w:style w:type="character" w:styleId="Contents1">
    <w:name w:val="Contents 1"/>
    <w:link w:val="Style_49"/>
    <w:qFormat/>
    <w:rPr>
      <w:rFonts w:ascii="XO Thames" w:hAnsi="XO Thames"/>
      <w:b/>
      <w:color w:val="000000"/>
      <w:spacing w:val="0"/>
      <w:sz w:val="28"/>
    </w:rPr>
  </w:style>
  <w:style w:type="character" w:styleId="Heading5">
    <w:name w:val="Heading 5"/>
    <w:link w:val="Style_40"/>
    <w:qFormat/>
    <w:rPr>
      <w:rFonts w:ascii="XO Thames" w:hAnsi="XO Thames"/>
      <w:b/>
      <w:sz w:val="22"/>
    </w:rPr>
  </w:style>
  <w:style w:type="character" w:styleId="ListParagraph">
    <w:name w:val="List Paragraph"/>
    <w:link w:val="Style_84"/>
    <w:qFormat/>
    <w:rPr>
      <w:rFonts w:ascii="Calibri" w:hAnsi="Calibri"/>
      <w:sz w:val="22"/>
    </w:rPr>
  </w:style>
  <w:style w:type="character" w:styleId="Heading1">
    <w:name w:val="Heading 1"/>
    <w:link w:val="Style_57"/>
    <w:qFormat/>
    <w:rPr>
      <w:rFonts w:ascii="XO Thames" w:hAnsi="XO Thames"/>
      <w:b/>
      <w:sz w:val="32"/>
    </w:rPr>
  </w:style>
  <w:style w:type="character" w:styleId="Style14">
    <w:name w:val="Заголовок таблицы"/>
    <w:basedOn w:val="Style10"/>
    <w:link w:val="Style_67"/>
    <w:qFormat/>
    <w:rPr>
      <w:b/>
    </w:rPr>
  </w:style>
  <w:style w:type="character" w:styleId="HeaderandFooter">
    <w:name w:val="Header and Footer"/>
    <w:link w:val="Style_50"/>
    <w:qFormat/>
    <w:rPr>
      <w:rFonts w:ascii="XO Thames" w:hAnsi="XO Thames"/>
      <w:sz w:val="20"/>
    </w:rPr>
  </w:style>
  <w:style w:type="character" w:styleId="Subtitle">
    <w:name w:val="Subtitle"/>
    <w:link w:val="Style_75"/>
    <w:qFormat/>
    <w:rPr>
      <w:rFonts w:ascii="XO Thames" w:hAnsi="XO Thames"/>
      <w:i/>
      <w:sz w:val="24"/>
    </w:rPr>
  </w:style>
  <w:style w:type="character" w:styleId="Appleconvertedspace">
    <w:name w:val="apple-converted-space"/>
    <w:basedOn w:val="DefaultParagraphFont"/>
    <w:link w:val="Style_73"/>
    <w:qFormat/>
    <w:rPr/>
  </w:style>
  <w:style w:type="character" w:styleId="WW8Num4z0">
    <w:name w:val="WW8Num4z0"/>
    <w:link w:val="Style_77"/>
    <w:qFormat/>
    <w:rPr/>
  </w:style>
  <w:style w:type="character" w:styleId="NormalWeb">
    <w:name w:val="Normal (Web)"/>
    <w:link w:val="Style_83"/>
    <w:qFormat/>
    <w:rPr>
      <w:rFonts w:ascii="Times New Roman" w:hAnsi="Times New Roman"/>
      <w:sz w:val="24"/>
    </w:rPr>
  </w:style>
  <w:style w:type="character" w:styleId="Style15">
    <w:name w:val="Заголовок"/>
    <w:link w:val="Style_85"/>
    <w:qFormat/>
    <w:rPr>
      <w:rFonts w:ascii="Liberation Sans" w:hAnsi="Liberation Sans"/>
    </w:rPr>
  </w:style>
  <w:style w:type="character" w:styleId="PlainText">
    <w:name w:val="Plain Text"/>
    <w:link w:val="Style_65"/>
    <w:qFormat/>
    <w:rPr>
      <w:rFonts w:ascii="Courier New" w:hAnsi="Courier New"/>
      <w:sz w:val="20"/>
    </w:rPr>
  </w:style>
  <w:style w:type="character" w:styleId="Heading4">
    <w:name w:val="Heading 4"/>
    <w:link w:val="Style_80"/>
    <w:qFormat/>
    <w:rPr>
      <w:rFonts w:ascii="XO Thames" w:hAnsi="XO Thames"/>
      <w:b/>
      <w:sz w:val="24"/>
    </w:rPr>
  </w:style>
  <w:style w:type="character" w:styleId="Style16">
    <w:name w:val="Основной текст Знак"/>
    <w:basedOn w:val="DefaultParagraphFont"/>
    <w:link w:val="Style_74"/>
    <w:qFormat/>
    <w:rPr>
      <w:rFonts w:ascii="Calibri" w:hAnsi="Calibri"/>
    </w:rPr>
  </w:style>
  <w:style w:type="character" w:styleId="ConsPlusNormal">
    <w:name w:val="ConsPlusNormal"/>
    <w:link w:val="Style_71"/>
    <w:qFormat/>
    <w:rPr>
      <w:rFonts w:ascii="Times New Roman" w:hAnsi="Times New Roman"/>
      <w:color w:val="00000A"/>
      <w:sz w:val="28"/>
    </w:rPr>
  </w:style>
  <w:style w:type="character" w:styleId="Style17">
    <w:name w:val="Верхний и нижний колонтитулы"/>
    <w:link w:val="Style_86"/>
    <w:qFormat/>
    <w:rPr>
      <w:rFonts w:ascii="XO Thames" w:hAnsi="XO Thames"/>
      <w:color w:val="000000"/>
      <w:spacing w:val="0"/>
      <w:sz w:val="20"/>
    </w:rPr>
  </w:style>
  <w:style w:type="paragraph" w:styleId="Style18">
    <w:name w:val="Заголовок"/>
    <w:next w:val="Style19"/>
    <w:link w:val="Style_8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Liberation Sans" w:hAnsi="Liberation San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9">
    <w:name w:val="Body Text"/>
    <w:basedOn w:val="Normal"/>
    <w:link w:val="Style_34_ch"/>
    <w:pPr>
      <w:spacing w:lineRule="auto" w:line="276" w:before="0" w:after="120"/>
      <w:jc w:val="left"/>
    </w:pPr>
    <w:rPr>
      <w:rFonts w:ascii="Calibri" w:hAnsi="Calibri"/>
      <w:sz w:val="22"/>
    </w:rPr>
  </w:style>
  <w:style w:type="paragraph" w:styleId="Style20">
    <w:name w:val="List"/>
    <w:basedOn w:val="Style19"/>
    <w:link w:val="Style_82_ch"/>
    <w:pPr/>
    <w:rPr/>
  </w:style>
  <w:style w:type="paragraph" w:styleId="Style21">
    <w:name w:val="Caption"/>
    <w:link w:val="Style_76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NSimSun" w:cs="Mangal" w:asciiTheme="minorAscii" w:hAnsiTheme="minorHAns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Style22">
    <w:name w:val="Указатель"/>
    <w:basedOn w:val="Normal"/>
    <w:link w:val="Style_25_ch"/>
    <w:qFormat/>
    <w:pPr/>
    <w:rPr/>
  </w:style>
  <w:style w:type="paragraph" w:styleId="Contents91">
    <w:name w:val="Contents 9"/>
    <w:link w:val="Style_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Indexheading1">
    <w:name w:val="index heading"/>
    <w:basedOn w:val="Normal"/>
    <w:link w:val="Style_52_ch"/>
    <w:qFormat/>
    <w:pPr/>
    <w:rPr/>
  </w:style>
  <w:style w:type="paragraph" w:styleId="Tekstob1">
    <w:name w:val="tekstob"/>
    <w:link w:val="Style_1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SimSun" w:cs="Mangal"/>
      <w:color w:val="000000"/>
      <w:spacing w:val="0"/>
      <w:kern w:val="0"/>
      <w:sz w:val="24"/>
      <w:szCs w:val="20"/>
      <w:lang w:val="ru-RU" w:eastAsia="zh-CN" w:bidi="hi-IN"/>
    </w:rPr>
  </w:style>
  <w:style w:type="paragraph" w:styleId="21">
    <w:name w:val="TOC 2"/>
    <w:next w:val="Normal"/>
    <w:link w:val="Style_9_ch"/>
    <w:uiPriority w:val="39"/>
    <w:pPr>
      <w:widowControl/>
      <w:bidi w:val="0"/>
      <w:spacing w:lineRule="auto" w:line="240" w:before="0" w:after="0"/>
      <w:ind w:left="2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1">
    <w:name w:val="Contents 5"/>
    <w:link w:val="Style_1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41">
    <w:name w:val="TOC 4"/>
    <w:next w:val="Normal"/>
    <w:link w:val="Style_12_ch"/>
    <w:uiPriority w:val="39"/>
    <w:pPr>
      <w:widowControl/>
      <w:bidi w:val="0"/>
      <w:spacing w:lineRule="auto" w:line="240" w:before="0" w:after="0"/>
      <w:ind w:left="6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Style23">
    <w:name w:val="Текст Знак"/>
    <w:basedOn w:val="DefaultParagraphFont1"/>
    <w:link w:val="Style_18_ch"/>
    <w:qFormat/>
    <w:pPr/>
    <w:rPr>
      <w:rFonts w:ascii="Courier New" w:hAnsi="Courier New"/>
      <w:sz w:val="20"/>
    </w:rPr>
  </w:style>
  <w:style w:type="paragraph" w:styleId="6">
    <w:name w:val="TOC 6"/>
    <w:next w:val="Normal"/>
    <w:link w:val="Style_15_ch"/>
    <w:uiPriority w:val="39"/>
    <w:pPr>
      <w:widowControl/>
      <w:bidi w:val="0"/>
      <w:spacing w:lineRule="auto" w:line="240" w:before="0" w:after="0"/>
      <w:ind w:left="10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7">
    <w:name w:val="TOC 7"/>
    <w:next w:val="Normal"/>
    <w:link w:val="Style_16_ch"/>
    <w:uiPriority w:val="39"/>
    <w:pPr>
      <w:widowControl/>
      <w:bidi w:val="0"/>
      <w:spacing w:lineRule="auto" w:line="240" w:before="0" w:after="0"/>
      <w:ind w:left="12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Style24">
    <w:name w:val="Title"/>
    <w:next w:val="Normal"/>
    <w:link w:val="Style_79_ch"/>
    <w:uiPriority w:val="10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Contents41">
    <w:name w:val="Contents 4"/>
    <w:link w:val="Style_2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"/>
    <w:link w:val="Style_1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asciiTheme="minorAscii" w:hAnsiTheme="minorHAnsi" w:eastAsia="NSimSun" w:cs="Mangal"/>
      <w:color w:val="000000"/>
      <w:spacing w:val="0"/>
      <w:kern w:val="0"/>
      <w:sz w:val="20"/>
      <w:szCs w:val="20"/>
      <w:lang w:val="ru-RU" w:eastAsia="zh-CN" w:bidi="hi-IN"/>
    </w:rPr>
  </w:style>
  <w:style w:type="paragraph" w:styleId="Textbody1">
    <w:name w:val="Text body"/>
    <w:link w:val="Style_22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NSimSun" w:cs="Mangal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Style25">
    <w:name w:val="Содержимое таблицы"/>
    <w:basedOn w:val="Normal"/>
    <w:link w:val="Style_58_ch"/>
    <w:qFormat/>
    <w:pPr/>
    <w:rPr/>
  </w:style>
  <w:style w:type="paragraph" w:styleId="ConsPlusTitle1">
    <w:name w:val="ConsPlusTitle"/>
    <w:link w:val="Style_3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Arial" w:hAnsi="Arial" w:eastAsia="NSimSun" w:cs="Mangal"/>
      <w:b/>
      <w:color w:val="00000A"/>
      <w:spacing w:val="0"/>
      <w:kern w:val="0"/>
      <w:sz w:val="28"/>
      <w:szCs w:val="20"/>
      <w:lang w:val="ru-RU" w:eastAsia="zh-CN" w:bidi="hi-IN"/>
    </w:rPr>
  </w:style>
  <w:style w:type="paragraph" w:styleId="BalloonText1">
    <w:name w:val="Balloon Text"/>
    <w:basedOn w:val="Normal"/>
    <w:link w:val="Style_41_ch"/>
    <w:qFormat/>
    <w:pPr>
      <w:jc w:val="left"/>
    </w:pPr>
    <w:rPr>
      <w:rFonts w:ascii="Tahoma" w:hAnsi="Tahoma"/>
      <w:sz w:val="16"/>
    </w:rPr>
  </w:style>
  <w:style w:type="paragraph" w:styleId="Style26">
    <w:name w:val="Текст выноски Знак"/>
    <w:basedOn w:val="DefaultParagraphFont1"/>
    <w:link w:val="Style_45_ch"/>
    <w:qFormat/>
    <w:pPr/>
    <w:rPr>
      <w:rFonts w:ascii="Tahoma" w:hAnsi="Tahoma"/>
      <w:sz w:val="16"/>
    </w:rPr>
  </w:style>
  <w:style w:type="paragraph" w:styleId="Contents81">
    <w:name w:val="Contents 8"/>
    <w:link w:val="Style_2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Style27">
    <w:name w:val="Интернет-ссылка"/>
    <w:basedOn w:val="DefaultParagraphFont1"/>
    <w:link w:val="Style_39_ch"/>
    <w:qFormat/>
    <w:pPr/>
    <w:rPr>
      <w:color w:val="0000FF"/>
      <w:u w:val="single"/>
    </w:rPr>
  </w:style>
  <w:style w:type="paragraph" w:styleId="ConsPlusCell1">
    <w:name w:val="ConsPlusCell"/>
    <w:link w:val="Style_4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NSimSun" w:cs="Mangal"/>
      <w:color w:val="00000A"/>
      <w:spacing w:val="0"/>
      <w:kern w:val="0"/>
      <w:sz w:val="28"/>
      <w:szCs w:val="20"/>
      <w:lang w:val="ru-RU" w:eastAsia="zh-CN" w:bidi="hi-IN"/>
    </w:rPr>
  </w:style>
  <w:style w:type="paragraph" w:styleId="31">
    <w:name w:val="TOC 3"/>
    <w:next w:val="Normal"/>
    <w:link w:val="Style_35_ch"/>
    <w:uiPriority w:val="39"/>
    <w:pPr>
      <w:widowControl/>
      <w:bidi w:val="0"/>
      <w:spacing w:lineRule="auto" w:line="240" w:before="0" w:after="0"/>
      <w:ind w:left="4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Formattext1">
    <w:name w:val="formattext"/>
    <w:link w:val="Style_7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SimSun" w:cs="Mangal"/>
      <w:color w:val="000000"/>
      <w:spacing w:val="0"/>
      <w:kern w:val="0"/>
      <w:sz w:val="24"/>
      <w:szCs w:val="20"/>
      <w:lang w:val="ru-RU" w:eastAsia="zh-CN" w:bidi="hi-IN"/>
    </w:rPr>
  </w:style>
  <w:style w:type="paragraph" w:styleId="Footnote1">
    <w:name w:val="Footnote"/>
    <w:link w:val="Style_47_ch"/>
    <w:qFormat/>
    <w:pPr>
      <w:widowControl/>
      <w:bidi w:val="0"/>
      <w:spacing w:lineRule="auto" w:line="240" w:before="0" w:after="0"/>
      <w:ind w:left="0" w:right="0" w:firstLine="851"/>
      <w:jc w:val="both"/>
    </w:pPr>
    <w:rPr>
      <w:rFonts w:ascii="XO Thames" w:hAnsi="XO Thames" w:eastAsia="NSimSun" w:cs="Mangal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11">
    <w:name w:val="Contents 1"/>
    <w:link w:val="Style_3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1">
    <w:name w:val="List Paragraph"/>
    <w:basedOn w:val="Normal"/>
    <w:link w:val="Style_84_ch"/>
    <w:qFormat/>
    <w:pPr>
      <w:spacing w:lineRule="auto" w:line="276" w:before="0" w:after="200"/>
      <w:ind w:left="720" w:right="0" w:hanging="0"/>
      <w:contextualSpacing/>
      <w:jc w:val="left"/>
    </w:pPr>
    <w:rPr>
      <w:rFonts w:ascii="Calibri" w:hAnsi="Calibri"/>
      <w:sz w:val="22"/>
    </w:rPr>
  </w:style>
  <w:style w:type="paragraph" w:styleId="Internetlink">
    <w:name w:val="Hyperlink"/>
    <w:link w:val="Style_46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NSimSun" w:cs="Mangal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Style28">
    <w:name w:val="Заголовок таблицы"/>
    <w:basedOn w:val="Style25"/>
    <w:link w:val="Style_67_ch"/>
    <w:qFormat/>
    <w:pPr>
      <w:jc w:val="center"/>
    </w:pPr>
    <w:rPr>
      <w:b/>
    </w:rPr>
  </w:style>
  <w:style w:type="paragraph" w:styleId="11">
    <w:name w:val="TOC 1"/>
    <w:next w:val="Normal"/>
    <w:link w:val="Style_49_ch"/>
    <w:uiPriority w:val="39"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tyle29">
    <w:name w:val="Верхний и нижний колонтитулы"/>
    <w:link w:val="Style_86_ch"/>
    <w:qFormat/>
    <w:pPr>
      <w:widowControl/>
      <w:bidi w:val="0"/>
      <w:spacing w:lineRule="auto" w:line="240" w:before="0" w:after="0"/>
      <w:ind w:left="0" w:right="0" w:hanging="0"/>
      <w:jc w:val="both"/>
    </w:pPr>
    <w:rPr>
      <w:rFonts w:ascii="XO Thames" w:hAnsi="XO Thames" w:eastAsia="NSimSun" w:cs="Mangal"/>
      <w:color w:val="000000"/>
      <w:spacing w:val="0"/>
      <w:kern w:val="0"/>
      <w:sz w:val="20"/>
      <w:szCs w:val="20"/>
      <w:lang w:val="ru-RU" w:eastAsia="zh-CN" w:bidi="hi-IN"/>
    </w:rPr>
  </w:style>
  <w:style w:type="paragraph" w:styleId="Style30">
    <w:name w:val="Subtitle"/>
    <w:next w:val="Normal"/>
    <w:link w:val="Style_75_ch"/>
    <w:uiPriority w:val="11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Appleconvertedspace1">
    <w:name w:val="apple-converted-space"/>
    <w:basedOn w:val="DefaultParagraphFont1"/>
    <w:link w:val="Style_73_ch"/>
    <w:qFormat/>
    <w:pPr/>
    <w:rPr/>
  </w:style>
  <w:style w:type="paragraph" w:styleId="WW8Num4z01">
    <w:name w:val="WW8Num4z0"/>
    <w:link w:val="Style_7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NSimSun" w:cs="Mangal" w:asciiTheme="minorAscii" w:hAnsiTheme="minorHAnsi"/>
      <w:color w:val="000000"/>
      <w:spacing w:val="0"/>
      <w:kern w:val="0"/>
      <w:sz w:val="28"/>
      <w:szCs w:val="20"/>
      <w:lang w:val="ru-RU" w:eastAsia="zh-CN" w:bidi="hi-IN"/>
    </w:rPr>
  </w:style>
  <w:style w:type="paragraph" w:styleId="9">
    <w:name w:val="TOC 9"/>
    <w:next w:val="Normal"/>
    <w:link w:val="Style_55_ch"/>
    <w:uiPriority w:val="39"/>
    <w:pPr>
      <w:widowControl/>
      <w:bidi w:val="0"/>
      <w:spacing w:lineRule="auto" w:line="240" w:before="0" w:after="0"/>
      <w:ind w:left="16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NormalWeb1">
    <w:name w:val="Normal (Web)"/>
    <w:basedOn w:val="Normal"/>
    <w:link w:val="Style_83_ch"/>
    <w:qFormat/>
    <w:pPr>
      <w:spacing w:beforeAutospacing="1" w:afterAutospacing="1"/>
      <w:jc w:val="left"/>
    </w:pPr>
    <w:rPr>
      <w:rFonts w:ascii="Times New Roman" w:hAnsi="Times New Roman"/>
      <w:sz w:val="24"/>
    </w:rPr>
  </w:style>
  <w:style w:type="paragraph" w:styleId="PlainText1">
    <w:name w:val="Plain Text"/>
    <w:basedOn w:val="Normal"/>
    <w:link w:val="Style_65_ch"/>
    <w:qFormat/>
    <w:pPr>
      <w:jc w:val="left"/>
    </w:pPr>
    <w:rPr>
      <w:rFonts w:ascii="Courier New" w:hAnsi="Courier New"/>
      <w:sz w:val="20"/>
    </w:rPr>
  </w:style>
  <w:style w:type="paragraph" w:styleId="8">
    <w:name w:val="TOC 8"/>
    <w:next w:val="Normal"/>
    <w:link w:val="Style_62_ch"/>
    <w:uiPriority w:val="39"/>
    <w:pPr>
      <w:widowControl/>
      <w:bidi w:val="0"/>
      <w:spacing w:lineRule="auto" w:line="240" w:before="0" w:after="0"/>
      <w:ind w:left="14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1">
    <w:name w:val="Contents 3"/>
    <w:link w:val="Style_6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51">
    <w:name w:val="TOC 5"/>
    <w:next w:val="Normal"/>
    <w:link w:val="Style_66_ch"/>
    <w:uiPriority w:val="39"/>
    <w:pPr>
      <w:widowControl/>
      <w:bidi w:val="0"/>
      <w:spacing w:lineRule="auto" w:line="240" w:before="0" w:after="0"/>
      <w:ind w:left="8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1">
    <w:name w:val="Contents 6"/>
    <w:link w:val="Style_68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Style31">
    <w:name w:val="Основной текст Знак"/>
    <w:basedOn w:val="DefaultParagraphFont1"/>
    <w:link w:val="Style_74_ch"/>
    <w:qFormat/>
    <w:pPr/>
    <w:rPr>
      <w:rFonts w:ascii="Calibri" w:hAnsi="Calibri"/>
    </w:rPr>
  </w:style>
  <w:style w:type="paragraph" w:styleId="ConsPlusNormal1">
    <w:name w:val="ConsPlusNormal"/>
    <w:link w:val="Style_7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SimSun" w:cs="Mangal"/>
      <w:color w:val="00000A"/>
      <w:spacing w:val="0"/>
      <w:kern w:val="0"/>
      <w:sz w:val="28"/>
      <w:szCs w:val="20"/>
      <w:lang w:val="ru-RU" w:eastAsia="zh-CN" w:bidi="hi-IN"/>
    </w:rPr>
  </w:style>
  <w:style w:type="paragraph" w:styleId="Contents71">
    <w:name w:val="Contents 7"/>
    <w:link w:val="Style_72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1">
    <w:name w:val="Contents 2"/>
    <w:link w:val="Style_78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table" w:default="1" w:styleId="Style_4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87">
    <w:name w:val="Table Grid"/>
    <w:basedOn w:val="Style_4"/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admilinsko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LibreOffice/6.4.1.2$Windows_x86 LibreOffice_project/4d224e95b98b138af42a64d84056446d09082932</Application>
  <Pages>22</Pages>
  <Words>4239</Words>
  <Characters>31467</Characters>
  <CharactersWithSpaces>35082</CharactersWithSpaces>
  <Paragraphs>734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2023-05-18T17:11:33Z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ScaleCrop">
    <vt:bool>0</vt:bool>
  </property>
</Properties>
</file>