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ИЛЬИНСКОГО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ИВАНОВСКОЙ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36"/>
        </w:rPr>
      </w:pPr>
      <w:r>
        <w:rPr>
          <w:rFonts w:ascii="Times New Roman" w:hAnsi="Times New Roman"/>
          <w:b/>
          <w:sz w:val="36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28.10.2022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года  № 300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 Ильинское-Хованское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-6"/>
          <w:sz w:val="28"/>
        </w:rPr>
      </w:pPr>
      <w:r>
        <w:rPr>
          <w:rFonts w:ascii="Times New Roman" w:hAnsi="Times New Roman"/>
          <w:b/>
          <w:spacing w:val="-6"/>
          <w:sz w:val="28"/>
        </w:rPr>
        <w:t>О внесении изменения в постановление администрации Ильинского муниципального района от 03.11.2016 №286 «Об утверждении муниципальной программы «Развитие газификации Ильинского муниципального района»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pacing w:val="2"/>
          <w:sz w:val="16"/>
        </w:rPr>
      </w:pPr>
      <w:r>
        <w:rPr>
          <w:rFonts w:ascii="Times New Roman" w:hAnsi="Times New Roman"/>
          <w:spacing w:val="2"/>
          <w:sz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объемов финансирования мероприятий муниципальной программы «Развитие газификации Ильинского муниципального района», администрация Ильинского муниципального района </w:t>
      </w:r>
      <w:r>
        <w:rPr>
          <w:rFonts w:ascii="Times New Roman" w:hAnsi="Times New Roman"/>
          <w:b/>
          <w:spacing w:val="2"/>
          <w:sz w:val="28"/>
        </w:rPr>
        <w:t>п о с т а н о в л я е т:</w:t>
      </w:r>
    </w:p>
    <w:p>
      <w:pPr>
        <w:pStyle w:val="Normal"/>
        <w:widowControl w:val="false"/>
        <w:numPr>
          <w:ilvl w:val="0"/>
          <w:numId w:val="2"/>
        </w:numPr>
        <w:spacing w:lineRule="auto" w:line="240" w:before="0" w:after="0"/>
        <w:ind w:left="426" w:right="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постановление администрации Ильинского муниципального района от 03.11.2016 №286 «Об утверждении муниципальной программы «Развитие газификации Ильинского муниципального района» следующее изменение: 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к постановлению изложить в новой редакции (прилагается).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0" w:after="0"/>
        <w:ind w:left="426" w:right="0" w:hanging="360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Опубликовать настоящее постановление в официальном сетевом издании – официальном сайте Ильинского муниципального района Ивановской области </w:t>
      </w:r>
      <w:hyperlink r:id="rId2">
        <w:r>
          <w:rPr>
            <w:rFonts w:ascii="Times New Roman" w:hAnsi="Times New Roman"/>
            <w:spacing w:val="2"/>
            <w:sz w:val="28"/>
          </w:rPr>
          <w:t>www.admilinskoe.ru</w:t>
        </w:r>
      </w:hyperlink>
      <w:r>
        <w:rPr>
          <w:rFonts w:ascii="Times New Roman" w:hAnsi="Times New Roman"/>
          <w:spacing w:val="2"/>
          <w:sz w:val="28"/>
        </w:rPr>
        <w:t xml:space="preserve"> в информационно-телекоммуникационной сети «Интернет».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0" w:after="0"/>
        <w:ind w:left="426" w:right="0" w:hanging="360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Настоящее постановление вступает в силу после его официального опубликования.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426" w:right="0" w:hanging="36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Ильинского муниципального района:</w:t>
        <w:tab/>
        <w:tab/>
        <w:t xml:space="preserve">          </w:t>
        <w:tab/>
        <w:t xml:space="preserve">                С.М. Ефремов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br w:type="page"/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Приложение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pacing w:val="10"/>
          <w:sz w:val="16"/>
        </w:rPr>
      </w:pPr>
      <w:r>
        <w:rPr>
          <w:rFonts w:ascii="Times New Roman" w:hAnsi="Times New Roman"/>
          <w:b w:val="false"/>
          <w:spacing w:val="10"/>
          <w:sz w:val="16"/>
        </w:rPr>
        <w:t>от28.10.2022 года № 300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  <w:u w:val="single"/>
        </w:rPr>
      </w:pPr>
      <w:r>
        <w:rPr>
          <w:rFonts w:ascii="Times New Roman" w:hAnsi="Times New Roman"/>
          <w:b w:val="false"/>
          <w:sz w:val="16"/>
          <w:u w:val="single"/>
        </w:rPr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Приложение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pacing w:val="10"/>
          <w:sz w:val="16"/>
        </w:rPr>
      </w:pPr>
      <w:r>
        <w:rPr>
          <w:rFonts w:ascii="Times New Roman" w:hAnsi="Times New Roman"/>
          <w:b w:val="false"/>
          <w:spacing w:val="10"/>
          <w:sz w:val="16"/>
        </w:rPr>
        <w:t>от 03.11.2016 года   № 286</w:t>
      </w:r>
    </w:p>
    <w:p>
      <w:pPr>
        <w:pStyle w:val="ConsPlusTitle1"/>
        <w:widowControl/>
        <w:jc w:val="center"/>
        <w:rPr>
          <w:rFonts w:ascii="Times New Roman" w:hAnsi="Times New Roman"/>
          <w:b w:val="false"/>
          <w:b w:val="false"/>
          <w:sz w:val="16"/>
          <w:u w:val="single"/>
        </w:rPr>
      </w:pPr>
      <w:r>
        <w:rPr>
          <w:rFonts w:ascii="Times New Roman" w:hAnsi="Times New Roman"/>
          <w:b w:val="false"/>
          <w:sz w:val="16"/>
          <w:u w:val="single"/>
        </w:rPr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МУНИЦИПАЛЬНАЯ ПРОГРАММА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 газификации Ильинского муниципального района на 2019 - 202</w:t>
      </w:r>
      <w:r>
        <w:rPr>
          <w:rFonts w:ascii="Times New Roman" w:hAnsi="Times New Roman"/>
          <w:b/>
          <w:color w:val="000000"/>
          <w:sz w:val="24"/>
        </w:rPr>
        <w:t>4</w:t>
      </w:r>
      <w:r>
        <w:rPr>
          <w:rFonts w:ascii="Times New Roman" w:hAnsi="Times New Roman"/>
          <w:sz w:val="24"/>
        </w:rPr>
        <w:t xml:space="preserve"> годы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1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1. Паспорт муниципальной программы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развитию газификации Ильинского муниципального района на 2019 — 202</w:t>
      </w:r>
      <w:r>
        <w:rPr>
          <w:rFonts w:ascii="Times New Roman" w:hAnsi="Times New Roman"/>
          <w:b/>
          <w:color w:val="000000"/>
          <w:sz w:val="24"/>
        </w:rPr>
        <w:t xml:space="preserve">4 </w:t>
      </w:r>
      <w:r>
        <w:rPr>
          <w:rFonts w:ascii="Times New Roman" w:hAnsi="Times New Roman"/>
          <w:sz w:val="24"/>
        </w:rPr>
        <w:t>годы</w:t>
      </w:r>
    </w:p>
    <w:p>
      <w:pPr>
        <w:pStyle w:val="ConsPlusTitle1"/>
        <w:widowControl/>
        <w:jc w:val="center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</w:r>
    </w:p>
    <w:tbl>
      <w:tblPr>
        <w:tblStyle w:val="Style_4"/>
        <w:tblW w:w="9354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3"/>
        <w:gridCol w:w="6250"/>
      </w:tblGrid>
      <w:tr>
        <w:trPr>
          <w:trHeight w:val="600" w:hRule="atLeast"/>
        </w:trPr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программы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Title1"/>
              <w:widowControl w:val="false"/>
              <w:jc w:val="both"/>
              <w:rPr>
                <w:rFonts w:ascii="Times New Roman" w:hAnsi="Times New Roman"/>
                <w:b w:val="false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Развитие газификации Ильинского муниципального района на 2019 - 202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b w:val="false"/>
                <w:sz w:val="24"/>
              </w:rPr>
              <w:t xml:space="preserve"> годы</w:t>
            </w:r>
          </w:p>
        </w:tc>
      </w:tr>
      <w:tr>
        <w:trPr>
          <w:trHeight w:val="240" w:hRule="atLeast"/>
        </w:trPr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реализации программы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2019 - 202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 годы</w:t>
            </w:r>
          </w:p>
        </w:tc>
      </w:tr>
      <w:tr>
        <w:trPr>
          <w:trHeight w:val="270" w:hRule="atLeast"/>
        </w:trPr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Администратор программы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val="600" w:hRule="atLeast"/>
        </w:trPr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Исполнительные органы, реализующие программы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val="480" w:hRule="atLeast"/>
        </w:trPr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 программы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газификации Ильинского муниципального района Ивановской области</w:t>
            </w:r>
          </w:p>
        </w:tc>
      </w:tr>
      <w:tr>
        <w:trPr>
          <w:trHeight w:val="1906" w:hRule="atLeast"/>
        </w:trPr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Целевые индикаторы и ожидаемые результаты реализации программы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Результатом реализации программы будет прирост уровня газификации сельских населенных пунктов.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Будут построены и введены в действие следующие объекты: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 распределительных газопровода  протяженностью порядка 7,3 км;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порядка 137 домовладения в 6 сельских населенных пунктах;</w:t>
            </w:r>
          </w:p>
        </w:tc>
      </w:tr>
      <w:tr>
        <w:trPr>
          <w:trHeight w:val="1080" w:hRule="atLeast"/>
        </w:trPr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программы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1. Анализ степени обеспеченности населения природным газом.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2. Подключение объектов социальной сферы к природному газу.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 Повышение уровня газификации природным газом сельских населенных пунктов.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4. Обеспечение разработки проектно-сметной документации на объекты газификации.</w:t>
            </w:r>
          </w:p>
        </w:tc>
      </w:tr>
      <w:tr>
        <w:trPr>
          <w:trHeight w:val="500" w:hRule="atLeast"/>
        </w:trPr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бюджетных ассигнований на реализацию программы (по годам реализации)</w:t>
            </w:r>
          </w:p>
        </w:tc>
        <w:tc>
          <w:tcPr>
            <w:tcW w:w="6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Общая сумма расходов на реализацию программы </w:t>
            </w:r>
            <w:r>
              <w:rPr>
                <w:rFonts w:ascii="Times New Roman" w:hAnsi="Times New Roman"/>
                <w:b/>
                <w:sz w:val="24"/>
              </w:rPr>
              <w:t>на 2019 – 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b/>
                <w:sz w:val="24"/>
              </w:rPr>
              <w:t xml:space="preserve"> годы –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45436519,5</w:t>
            </w:r>
            <w:r>
              <w:rPr>
                <w:rFonts w:ascii="Times New Roman" w:hAnsi="Times New Roman"/>
                <w:b/>
                <w:sz w:val="24"/>
              </w:rPr>
              <w:t xml:space="preserve"> рублей, </w:t>
            </w:r>
            <w:r>
              <w:rPr>
                <w:rFonts w:ascii="Times New Roman" w:hAnsi="Times New Roman"/>
                <w:sz w:val="24"/>
              </w:rPr>
              <w:t>в том числе средства: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2019 год – 5198932,93 рублей, в т.ч.:</w:t>
            </w:r>
          </w:p>
          <w:p>
            <w:pPr>
              <w:pStyle w:val="ConsPlusNormal1"/>
              <w:widowControl w:val="false"/>
              <w:ind w:left="72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>обл. бюдж. – 5146943,61 рублей</w:t>
            </w:r>
          </w:p>
          <w:p>
            <w:pPr>
              <w:pStyle w:val="ConsPlusNormal1"/>
              <w:widowControl w:val="false"/>
              <w:tabs>
                <w:tab w:val="clear" w:pos="708"/>
                <w:tab w:val="left" w:pos="1530" w:leader="none"/>
              </w:tabs>
              <w:ind w:left="72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>мест. бюдж. – 51989,32 рублей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2020 год – 15576644,69 рублей, в т.ч.:</w:t>
            </w:r>
          </w:p>
          <w:p>
            <w:pPr>
              <w:pStyle w:val="ConsPlusNormal1"/>
              <w:widowControl w:val="false"/>
              <w:ind w:left="72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>обл. бюдж. – 15298863,33 рублей</w:t>
            </w:r>
          </w:p>
          <w:p>
            <w:pPr>
              <w:pStyle w:val="ConsPlusNormal1"/>
              <w:widowControl w:val="false"/>
              <w:tabs>
                <w:tab w:val="clear" w:pos="708"/>
                <w:tab w:val="left" w:pos="1530" w:leader="none"/>
              </w:tabs>
              <w:ind w:left="72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>мест. бюдж. – 277781,36 рублей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2021 год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8175941,88</w:t>
            </w:r>
            <w:r>
              <w:rPr>
                <w:rFonts w:ascii="Times New Roman" w:hAnsi="Times New Roman"/>
                <w:b/>
                <w:sz w:val="24"/>
              </w:rPr>
              <w:t xml:space="preserve"> рублей, в т.ч.:</w:t>
            </w:r>
          </w:p>
          <w:p>
            <w:pPr>
              <w:pStyle w:val="ConsPlusNormal1"/>
              <w:widowControl w:val="false"/>
              <w:ind w:left="720" w:right="0" w:hanging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 xml:space="preserve">обл. бюдж.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7664088,92 </w:t>
            </w:r>
            <w:r>
              <w:rPr>
                <w:rFonts w:ascii="Times New Roman" w:hAnsi="Times New Roman"/>
                <w:b/>
                <w:sz w:val="24"/>
              </w:rPr>
              <w:t>рублей</w:t>
            </w:r>
          </w:p>
          <w:p>
            <w:pPr>
              <w:pStyle w:val="ConsPlusNormal1"/>
              <w:widowControl w:val="false"/>
              <w:ind w:left="720" w:right="0" w:hanging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 xml:space="preserve">мест. бюдж.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511852,96</w:t>
            </w:r>
            <w:r>
              <w:rPr>
                <w:rFonts w:ascii="Times New Roman" w:hAnsi="Times New Roman"/>
                <w:b/>
                <w:sz w:val="24"/>
              </w:rPr>
              <w:t xml:space="preserve"> рублей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2022 год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0,00 рублей,</w:t>
            </w:r>
            <w:r>
              <w:rPr>
                <w:rFonts w:ascii="Times New Roman" w:hAnsi="Times New Roman"/>
                <w:b/>
                <w:sz w:val="24"/>
              </w:rPr>
              <w:t xml:space="preserve"> в т.ч.:</w:t>
            </w:r>
          </w:p>
          <w:p>
            <w:pPr>
              <w:pStyle w:val="ConsPlusNormal1"/>
              <w:widowControl w:val="false"/>
              <w:numPr>
                <w:ilvl w:val="0"/>
                <w:numId w:val="0"/>
              </w:numPr>
              <w:ind w:left="144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 xml:space="preserve">обл. бюдж.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0,00</w:t>
            </w:r>
            <w:r>
              <w:rPr>
                <w:rFonts w:ascii="Times New Roman" w:hAnsi="Times New Roman"/>
                <w:b/>
                <w:sz w:val="24"/>
              </w:rPr>
              <w:t xml:space="preserve"> рублей</w:t>
            </w:r>
          </w:p>
          <w:p>
            <w:pPr>
              <w:pStyle w:val="ConsPlusNormal1"/>
              <w:widowControl w:val="false"/>
              <w:numPr>
                <w:ilvl w:val="0"/>
                <w:numId w:val="0"/>
              </w:numPr>
              <w:ind w:left="144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мест. бюдж. – 0,00 рублей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2023 год – 16485000,00 </w:t>
            </w:r>
            <w:r>
              <w:rPr>
                <w:rFonts w:ascii="Times New Roman" w:hAnsi="Times New Roman"/>
                <w:b/>
                <w:sz w:val="24"/>
              </w:rPr>
              <w:t>рублей, в т.ч.:</w:t>
            </w:r>
          </w:p>
          <w:p>
            <w:pPr>
              <w:pStyle w:val="ConsPlusNormal1"/>
              <w:widowControl w:val="false"/>
              <w:ind w:left="72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>обл. бюдж. – 15660750,00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рублей</w:t>
            </w:r>
          </w:p>
          <w:p>
            <w:pPr>
              <w:pStyle w:val="ConsPlusNormal1"/>
              <w:widowControl w:val="false"/>
              <w:ind w:left="72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</w:rPr>
              <w:t>мест. бюдж. – 824250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,00</w:t>
            </w:r>
            <w:r>
              <w:rPr>
                <w:rFonts w:ascii="Times New Roman" w:hAnsi="Times New Roman"/>
                <w:b/>
                <w:sz w:val="24"/>
              </w:rPr>
              <w:t xml:space="preserve"> рублей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b/>
                <w:sz w:val="24"/>
              </w:rPr>
              <w:t xml:space="preserve"> год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0,00 рублей.</w:t>
            </w:r>
          </w:p>
        </w:tc>
      </w:tr>
    </w:tbl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2. Социально-экономическая проблема Ильинского муниципального района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2.1. Социально-экономическая проблема, на решение которой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направлена программа, и прогноз развития ситуации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анализа обеспеченности природным газом населения Ильинского муниципального района Ивановской области выявлена основная социально-экономическая проблема – низкий уровень газификации сельских населенных пунктов района природным газом, значение которого ниже средних показателей по Ивановской области.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Средний уровень газификации по Ильинскому муниципальному району составляет порядка 60%, в то же время уровень газификации в сельской местности составляет лишь около 40%.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Еще остались населенные пункты на территории Ильинского муниципального района, в которых для теплоснабжения объектов социальной сферы в качестве топлива используются менее экономичные, экологически чистые и удобные виды топлива.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Таким образом, необходимость разработки программы по развитию газификации Ильинского муниципального района на 2021 – 202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sz w:val="24"/>
        </w:rPr>
        <w:t xml:space="preserve"> годы обусловлена: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социально-экономической и политической остротой проблемы;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необходимостью улучшения качества жизни населения Ильинского муниципального района посредством повышения уровня газификации сельских населенных пунктов природным газом;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2.2. Опыт решения социально-экономической проблемы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в предыдущие годы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разработана в соответствии с подпрограммой «Развитие газификации Ивановской области» государственной программы Ивановской области «Обеспечение доступным и комфортным жильем населения Ивановской области», утвержденной постановлением Правительства Ивановской области от 06.12.2017 №460-п.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период с 2006 по 2013 год для Ильинского муниципального района одним из приоритетных направлений была газификация района. Принцип софинансирования целевой программы за счет бюджетов различных уровней и внебюджетных источников обеспечил оптимальную результативность по этим направлениям.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газификации регионов Российской Федерации (Ивановская область) в период с 2006 по 2013 год было освоено более 130 млн. руб. и введено в эксплуатацию около 50 км межпоселковых газопроводов, более 60 км уличных сетей, газифицировано порядка 1200 домовладений, построено или переведено на газ 17 котельных социальной сферы, в т.ч.: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- 2006 год: в с. Гари – 5,73 км уличных сетей, 113 домовладений, 2 котельные социальной сферы;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- 2007 год: в с. Кулачево – 4,06 км уличных сетей, 59 домовладений, 3 котельных социальной сферы;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- 2008 год: в д. Щенниково – 8,10 км уличных сетей, 169 домовладений, 4 котельных социальной сферы;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- 2008 год: в с. Аньково – 31,83 км уличных сетей, 542 домовладений, 6 котельных социальной сферы, 3 котельных частной формы собственности (ООО «Аньковская ПМК», ОАО «Аньковское» и ПЧ-53 с. Аньково);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- 2013 год: в с. Ивашево – 13,223 км уличных сетей, 201 домовладения, 2 котельных социальной сферы.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-2020 год: в с. Нажерово, д. Астафьво,д. Счастливка – 5,054 км уличных сетей, 107 домовладений, 2 котельные социльной сферы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-2021 год: в д. Зайково, д. Денисово Малое, д. Кузяево – 2,3868 км уличных сетей,30 домовладений</w:t>
      </w:r>
    </w:p>
    <w:p>
      <w:pPr>
        <w:pStyle w:val="ConsPlusNormal1"/>
        <w:widowControl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Таким образом, уровень газификации района за последние годы вырос почти на 30%.</w:t>
      </w:r>
    </w:p>
    <w:p>
      <w:pPr>
        <w:pStyle w:val="ConsPlusNormal1"/>
        <w:widowControl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Цель, целевые индикаторы и ожидаемые результаты реализации программы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3.1. Цель программы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Целью программы является развитие газификации Ильинского муниципального района Ивановской области.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3.2. Целевые индикаторы и ожидаемые результаты реализации программы</w:t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right"/>
        <w:outlineLvl w:val="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Style w:val="Style_4"/>
        <w:tblW w:w="9285" w:type="dxa"/>
        <w:jc w:val="left"/>
        <w:tblInd w:w="7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484"/>
        <w:gridCol w:w="3735"/>
        <w:gridCol w:w="843"/>
        <w:gridCol w:w="847"/>
        <w:gridCol w:w="842"/>
        <w:gridCol w:w="846"/>
        <w:gridCol w:w="844"/>
        <w:gridCol w:w="843"/>
      </w:tblGrid>
      <w:tr>
        <w:trPr>
          <w:trHeight w:val="360" w:hRule="atLeast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 п/п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показателя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</w:tc>
      </w:tr>
      <w:tr>
        <w:trPr>
          <w:trHeight w:val="203" w:hRule="atLeast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проектно-сметной документации, (ПСД)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val="203" w:hRule="atLeast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распределительных газопроводов, (км)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5,054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2,3868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val="65" w:hRule="atLeast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Перевод на природный газ котельных социальной сферы, (шт.)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val="65" w:hRule="atLeast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Газификация домовладений,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(шт.)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>
      <w:pPr>
        <w:pStyle w:val="ConsPlusNormal1"/>
        <w:widowControl/>
        <w:ind w:left="0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Повышение уровня газификации сельских населенных пунктов позволит повысить качество жизни населения Ильинского муниципального района.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1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Задачи, мероприятия и ресурсное обеспечение  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4.1. Задачи  программы</w:t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right"/>
        <w:outlineLvl w:val="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tbl>
      <w:tblPr>
        <w:tblStyle w:val="Style_4"/>
        <w:tblW w:w="9284" w:type="dxa"/>
        <w:jc w:val="left"/>
        <w:tblInd w:w="7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32"/>
        <w:gridCol w:w="6080"/>
        <w:gridCol w:w="2672"/>
      </w:tblGrid>
      <w:tr>
        <w:trPr>
          <w:trHeight w:val="360" w:hRule="atLeast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 п/п</w:t>
            </w:r>
          </w:p>
        </w:tc>
        <w:tc>
          <w:tcPr>
            <w:tcW w:w="6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Задача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Год, к которому задача должна быть решена</w:t>
            </w:r>
          </w:p>
        </w:tc>
      </w:tr>
      <w:tr>
        <w:trPr>
          <w:trHeight w:val="360" w:hRule="atLeast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outlineLvl w:val="2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степени обеспеченности населения природным газом.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2019</w:t>
            </w:r>
          </w:p>
        </w:tc>
      </w:tr>
      <w:tr>
        <w:trPr>
          <w:trHeight w:val="360" w:hRule="atLeast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разработки проектно-сметной документации на объекты газификации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202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6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Подключение объектов социальной сферы к природному газу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202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6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Увеличение обеспеченности населения объектами коммунальной инфраструктуры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202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</w:tbl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4.2. Мероприятия  программы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right"/>
        <w:outlineLvl w:val="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tbl>
      <w:tblPr>
        <w:tblStyle w:val="Style_4"/>
        <w:tblW w:w="142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3215"/>
        <w:gridCol w:w="1654"/>
        <w:gridCol w:w="1766"/>
        <w:gridCol w:w="1169"/>
        <w:gridCol w:w="1077"/>
        <w:gridCol w:w="1182"/>
        <w:gridCol w:w="1685"/>
        <w:gridCol w:w="2004"/>
      </w:tblGrid>
      <w:tr>
        <w:trPr/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3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мероприятий</w:t>
            </w:r>
          </w:p>
        </w:tc>
        <w:tc>
          <w:tcPr>
            <w:tcW w:w="1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исполнения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(годы)</w:t>
            </w:r>
          </w:p>
        </w:tc>
        <w:tc>
          <w:tcPr>
            <w:tcW w:w="1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финансирования,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рублей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 за счет средств,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рублей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выполнение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Ожидаемые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</w:t>
            </w:r>
          </w:p>
        </w:tc>
      </w:tr>
      <w:tr>
        <w:trPr/>
        <w:tc>
          <w:tcPr>
            <w:tcW w:w="5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32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7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бюджет поселен.</w:t>
            </w:r>
          </w:p>
        </w:tc>
        <w:tc>
          <w:tcPr>
            <w:tcW w:w="1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0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rPr/>
        <w:tc>
          <w:tcPr>
            <w:tcW w:w="142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Проектная документация</w:t>
            </w:r>
          </w:p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с. Нажерово, д. Астафьево, д. Счастливка для газификации жилья и объектов социальной сферы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4203983,44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4161943,61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42039,83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2019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4203983,44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4161943,61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42039,83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д. Зайково, д. Денисово Малое, д. Кузяево для газификации жилья и объектов социальной сферы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2019-2020 г.г.,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1485000,00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2019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994949,49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985000,00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9949,49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2020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505050,51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500000,00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5050,51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д. Колчигино для газификации жилья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1750000,00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1662500,00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87</w:t>
            </w:r>
            <w:r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1750000,00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1662500,00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87500,00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д. Ширяево для газификации жилья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2700000,00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2565000,00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135000,00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2700000,00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2565000,00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135000,00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с. Назорное для газификации жилья</w:t>
            </w:r>
          </w:p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3600000,00</w:t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3420000,00</w:t>
            </w:r>
          </w:p>
        </w:tc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180000,00</w:t>
            </w:r>
          </w:p>
        </w:tc>
        <w:tc>
          <w:tcPr>
            <w:tcW w:w="1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3600000,00</w:t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3420</w:t>
            </w:r>
            <w:r>
              <w:rPr>
                <w:rFonts w:ascii="Times New Roman" w:hAnsi="Times New Roman"/>
                <w:b/>
                <w:color w:val="000000"/>
              </w:rPr>
              <w:t>000,00</w:t>
            </w:r>
          </w:p>
        </w:tc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180000,00</w:t>
            </w:r>
          </w:p>
        </w:tc>
        <w:tc>
          <w:tcPr>
            <w:tcW w:w="1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Разработка проектной документации на распределительный газопровод по д. Хлебницы и п. Погост Дмитрия Солунского для газификации жилья и объектов социальной сферы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4315000,00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4099250,00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215750,00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4315000,00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4099250,00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215750,00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д. Коварчино для газификации жилья и объектов социальной сферы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4120000,00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3914000,00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206000,00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4120000,00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3914000,00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206000,00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д. Сениха для газификации жилья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д. Рожново для газификации жилья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с. Игрищи и д. Константиново для газификации жилья и объектов социальной сферы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>
          <w:trHeight w:val="1453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д. Полянки для газификации жилья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>
          <w:trHeight w:val="1772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2"/>
                <w:sz w:val="23"/>
              </w:rPr>
            </w:pPr>
            <w:r>
              <w:rPr>
                <w:rFonts w:ascii="Times New Roman" w:hAnsi="Times New Roman"/>
                <w:spacing w:val="-2"/>
                <w:sz w:val="23"/>
              </w:rPr>
              <w:t>Разработка проектной документации на распределительный газопровод по д. Антушково, с. Погост Крест, д. Поповка, д. Зады для газификации жилья и объектов социальной сферы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>
          <w:trHeight w:val="1490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 проектной документации на распределительный газопровод по д. Торлыга для газификации жилья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Разработка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проектно-сметной документации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>
          <w:trHeight w:val="200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1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 по разделу 1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2019-202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b/>
                <w:sz w:val="24"/>
              </w:rPr>
              <w:t>г.г.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22188983,44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21307693,61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98" w:right="-157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881289,83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>
          <w:trHeight w:val="1000" w:hRule="atLeast"/>
        </w:trPr>
        <w:tc>
          <w:tcPr>
            <w:tcW w:w="142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Строительство газопроводов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Распределительный газопровод по с. Нажерово, д. Счастливка, д. Астафьево для газификации жилья и объектов социальной сферы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2020-2021 г.г.,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15071594,18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14798863,33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272730,85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0"/>
                <w:sz w:val="24"/>
              </w:rPr>
              <w:t>Повышение уровня газификации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0"/>
                <w:sz w:val="24"/>
              </w:rPr>
              <w:t>сельских населенных пунктов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5,054 км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2020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15071594,18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14798863,33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272730,85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(врезка, испытания)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315140,53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315140,53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Распределительный газопровод по д. Зайково, д. Денисово Малое, д. Кузяево для газификации жилья и объектов социальной сферы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2020-2021 г.г.,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7860801,35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7664088,92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 w:val="false"/>
                <w:b w:val="false"/>
                <w:color w:val="000000"/>
                <w:sz w:val="20"/>
              </w:rPr>
            </w:pPr>
            <w:r>
              <w:rPr>
                <w:rFonts w:ascii="Times New Roman" w:hAnsi="Times New Roman"/>
                <w:b w:val="false"/>
                <w:color w:val="000000"/>
                <w:sz w:val="20"/>
              </w:rPr>
              <w:t>196712,43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Администрация</w:t>
            </w:r>
          </w:p>
          <w:p>
            <w:pPr>
              <w:pStyle w:val="ConsPlusNormal1"/>
              <w:widowControl w:val="false"/>
              <w:ind w:left="-110" w:right="-108" w:hanging="0"/>
              <w:jc w:val="center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Ильинского муниципального района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0"/>
                <w:sz w:val="24"/>
              </w:rPr>
              <w:t>Повышение уровня газификации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pacing w:val="-20"/>
                <w:sz w:val="24"/>
              </w:rPr>
              <w:t>сельских населенных пунктов</w:t>
            </w:r>
          </w:p>
        </w:tc>
      </w:tr>
      <w:tr>
        <w:trPr>
          <w:trHeight w:val="212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2,3868 км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7860801,35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7664088,92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196712,43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/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(врезка, испытания)</w:t>
            </w:r>
          </w:p>
        </w:tc>
        <w:tc>
          <w:tcPr>
            <w:tcW w:w="1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0,00</w:t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0,00</w:t>
            </w:r>
          </w:p>
        </w:tc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0,0</w:t>
            </w:r>
          </w:p>
        </w:tc>
        <w:tc>
          <w:tcPr>
            <w:tcW w:w="1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---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>
          <w:trHeight w:val="234" w:hRule="atLeast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 по разделу 2:</w:t>
            </w:r>
          </w:p>
        </w:tc>
        <w:tc>
          <w:tcPr>
            <w:tcW w:w="1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2020-202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b/>
                <w:sz w:val="24"/>
              </w:rPr>
              <w:t xml:space="preserve"> г.г.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23247536,06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22462952,25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784583,81</w:t>
            </w:r>
          </w:p>
        </w:tc>
        <w:tc>
          <w:tcPr>
            <w:tcW w:w="1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</w:rPr>
              <w:t>---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rPr>
          <w:trHeight w:val="458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42" w:right="-115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 по программе: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2019-202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45436519,5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43770645,86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1665873,64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</w:rPr>
              <w:t>---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701" w:footer="0" w:bottom="851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4.3. Бюджетные ассигнования на реализацию  программы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right"/>
        <w:outlineLvl w:val="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</w:t>
      </w:r>
    </w:p>
    <w:tbl>
      <w:tblPr>
        <w:tblStyle w:val="Style_4"/>
        <w:tblW w:w="1457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2"/>
        <w:gridCol w:w="1623"/>
        <w:gridCol w:w="1384"/>
        <w:gridCol w:w="1370"/>
        <w:gridCol w:w="1269"/>
        <w:gridCol w:w="1286"/>
        <w:gridCol w:w="1210"/>
        <w:gridCol w:w="1394"/>
      </w:tblGrid>
      <w:tr>
        <w:trPr/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10"/>
                <w:sz w:val="24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</w:rPr>
              <w:t>Направления финансирования</w:t>
            </w:r>
          </w:p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10"/>
                <w:sz w:val="24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</w:rPr>
              <w:t>и источники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ConsPlusNormal1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2019-2024 годы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2019 год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2020 год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 год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2023 год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 год</w:t>
            </w:r>
          </w:p>
        </w:tc>
      </w:tr>
      <w:tr>
        <w:trPr/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 на реализацию программы, (рублей), в том числе: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45436519,5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5198932,93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15576644,69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8175941,88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16485000,00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</w:tr>
      <w:tr>
        <w:trPr>
          <w:trHeight w:val="75" w:hRule="atLeast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областной бюджет (рублей)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43770645,86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5146943,61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15298863,33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7664088,92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15660</w:t>
            </w:r>
            <w:r>
              <w:rPr>
                <w:rFonts w:ascii="Times New Roman" w:hAnsi="Times New Roman"/>
                <w:color w:val="000000"/>
              </w:rPr>
              <w:t>750,00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</w:tr>
      <w:tr>
        <w:trPr>
          <w:trHeight w:val="219" w:hRule="atLeast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районный бюджет (рублей)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1665873,64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51989,32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277781,36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511852,96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824250,00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</w:tr>
      <w:tr>
        <w:trPr/>
        <w:tc>
          <w:tcPr>
            <w:tcW w:w="131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Разработка проектно-сметной документации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</w:r>
          </w:p>
        </w:tc>
      </w:tr>
      <w:tr>
        <w:trPr>
          <w:trHeight w:val="575" w:hRule="atLeast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Всего на разработку ПСД, (рублей), в том числе: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22188983,44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5198932,93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505050,51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16485000,00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</w:tr>
      <w:tr>
        <w:trPr>
          <w:trHeight w:val="278" w:hRule="atLeast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областной бюджет (рублей)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47" w:right="-118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21307693,61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5146943,61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500000,00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15660</w:t>
            </w:r>
            <w:r>
              <w:rPr>
                <w:rFonts w:ascii="Times New Roman" w:hAnsi="Times New Roman"/>
                <w:color w:val="000000"/>
              </w:rPr>
              <w:t>750,00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</w:tr>
      <w:tr>
        <w:trPr/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местный бюджет (рублей)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98" w:right="-157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881289,83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51989,32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5050,51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824250,00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>
        <w:trPr/>
        <w:tc>
          <w:tcPr>
            <w:tcW w:w="131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Строительство газопроводов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</w:r>
          </w:p>
        </w:tc>
      </w:tr>
      <w:tr>
        <w:trPr/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 на строительство, (рублей), в том числе: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23247536,06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15071594,18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 w:val="false"/>
                <w:b w:val="false"/>
                <w:color w:val="000000"/>
                <w:sz w:val="20"/>
              </w:rPr>
            </w:pPr>
            <w:r>
              <w:rPr>
                <w:rFonts w:ascii="Times New Roman" w:hAnsi="Times New Roman"/>
                <w:b w:val="false"/>
                <w:color w:val="000000"/>
                <w:sz w:val="20"/>
              </w:rPr>
              <w:t>8175941,88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</w:tr>
      <w:tr>
        <w:trPr>
          <w:trHeight w:val="70" w:hRule="atLeast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областной бюджет (рублей)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22462952,25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14798863,33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7664088,92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</w:tr>
      <w:tr>
        <w:trPr/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местный бюджет (рублей)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784583,81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272730,85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511852,96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77" w:right="-181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left="-100" w:right="-169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sectPr>
      <w:type w:val="nextPage"/>
      <w:pgSz w:orient="landscape" w:w="16838" w:h="11906"/>
      <w:pgMar w:left="1134" w:right="1134" w:header="0" w:top="851" w:footer="0" w:bottom="1701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XO Thames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638" w:hanging="108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2130" w:hanging="1440"/>
      </w:pPr>
    </w:lvl>
    <w:lvl w:ilvl="6">
      <w:start w:val="1"/>
      <w:numFmt w:val="decimal"/>
      <w:lvlText w:val="%1.%2.%3.%4.%5.%6.%7."/>
      <w:lvlJc w:val="left"/>
      <w:pPr>
        <w:ind w:left="2556" w:hanging="1800"/>
      </w:pPr>
    </w:lvl>
    <w:lvl w:ilvl="7">
      <w:start w:val="1"/>
      <w:numFmt w:val="decimal"/>
      <w:lvlText w:val="%1.%2.%3.%4.%5.%6.%7.%8."/>
      <w:lvlJc w:val="left"/>
      <w:pPr>
        <w:ind w:left="2622" w:hanging="1800"/>
      </w:pPr>
    </w:lvl>
    <w:lvl w:ilvl="8">
      <w:start w:val="1"/>
      <w:numFmt w:val="decimal"/>
      <w:lvlText w:val="%1.%2.%3.%4.%5.%6.%7.%8.%9."/>
      <w:lvlJc w:val="left"/>
      <w:pPr>
        <w:ind w:left="3048" w:hanging="21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Mangal" w:asciiTheme="minorAscii" w:hAnsiTheme="minorHAns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asciiTheme="minorAscii" w:hAnsiTheme="minorHAnsi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basedOn w:val="Style15"/>
    <w:next w:val="Style16"/>
    <w:link w:val="Style_18_ch"/>
    <w:uiPriority w:val="9"/>
    <w:qFormat/>
    <w:pPr>
      <w:numPr>
        <w:ilvl w:val="0"/>
        <w:numId w:val="1"/>
      </w:numPr>
      <w:spacing w:before="240" w:after="120"/>
      <w:outlineLvl w:val="0"/>
    </w:pPr>
    <w:rPr>
      <w:b/>
      <w:sz w:val="36"/>
    </w:rPr>
  </w:style>
  <w:style w:type="paragraph" w:styleId="2">
    <w:name w:val="Heading 2"/>
    <w:next w:val="Normal"/>
    <w:link w:val="Style_34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9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32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NSimSun" w:cs="Mang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link w:val="Style_17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5"/>
    <w:qFormat/>
    <w:rPr>
      <w:rFonts w:ascii="XO Thames" w:hAnsi="XO Thames"/>
      <w:sz w:val="28"/>
    </w:rPr>
  </w:style>
  <w:style w:type="character" w:styleId="Contents4">
    <w:name w:val="Contents 4"/>
    <w:link w:val="Style_6"/>
    <w:qFormat/>
    <w:rPr>
      <w:rFonts w:ascii="XO Thames" w:hAnsi="XO Thames"/>
      <w:sz w:val="28"/>
    </w:rPr>
  </w:style>
  <w:style w:type="character" w:styleId="Contents6">
    <w:name w:val="Contents 6"/>
    <w:link w:val="Style_7"/>
    <w:qFormat/>
    <w:rPr>
      <w:rFonts w:ascii="XO Thames" w:hAnsi="XO Thames"/>
      <w:sz w:val="28"/>
    </w:rPr>
  </w:style>
  <w:style w:type="character" w:styleId="Contents7">
    <w:name w:val="Contents 7"/>
    <w:link w:val="Style_8"/>
    <w:qFormat/>
    <w:rPr>
      <w:rFonts w:ascii="XO Thames" w:hAnsi="XO Thames"/>
      <w:sz w:val="28"/>
    </w:rPr>
  </w:style>
  <w:style w:type="character" w:styleId="Heading3">
    <w:name w:val="Heading 3"/>
    <w:link w:val="Style_9"/>
    <w:qFormat/>
    <w:rPr>
      <w:rFonts w:ascii="XO Thames" w:hAnsi="XO Thames"/>
      <w:b/>
      <w:sz w:val="26"/>
    </w:rPr>
  </w:style>
  <w:style w:type="character" w:styleId="Textbody">
    <w:name w:val="Text body"/>
    <w:link w:val="Style_10"/>
    <w:qFormat/>
    <w:rPr/>
  </w:style>
  <w:style w:type="character" w:styleId="ListParagraph">
    <w:name w:val="List Paragraph"/>
    <w:link w:val="Style_11"/>
    <w:qFormat/>
    <w:rPr/>
  </w:style>
  <w:style w:type="character" w:styleId="ConsPlusNormal">
    <w:name w:val="ConsPlusNormal"/>
    <w:link w:val="Style_2"/>
    <w:qFormat/>
    <w:rPr>
      <w:rFonts w:ascii="Arial" w:hAnsi="Arial"/>
      <w:color w:val="000000"/>
      <w:sz w:val="20"/>
    </w:rPr>
  </w:style>
  <w:style w:type="character" w:styleId="Style9">
    <w:name w:val="Заголовок"/>
    <w:link w:val="Style_12"/>
    <w:qFormat/>
    <w:rPr>
      <w:rFonts w:ascii="Liberation Sans" w:hAnsi="Liberation Sans"/>
      <w:sz w:val="28"/>
    </w:rPr>
  </w:style>
  <w:style w:type="character" w:styleId="Contents3">
    <w:name w:val="Contents 3"/>
    <w:link w:val="Style_13"/>
    <w:qFormat/>
    <w:rPr>
      <w:rFonts w:ascii="XO Thames" w:hAnsi="XO Thames"/>
      <w:sz w:val="28"/>
    </w:rPr>
  </w:style>
  <w:style w:type="character" w:styleId="BalloonText">
    <w:name w:val="Balloon Text"/>
    <w:link w:val="Style_14"/>
    <w:qFormat/>
    <w:rPr>
      <w:rFonts w:ascii="Tahoma" w:hAnsi="Tahoma"/>
      <w:sz w:val="16"/>
    </w:rPr>
  </w:style>
  <w:style w:type="character" w:styleId="Style10">
    <w:name w:val="Заголовок таблицы"/>
    <w:basedOn w:val="Style14"/>
    <w:link w:val="Style_15"/>
    <w:qFormat/>
    <w:rPr>
      <w:b/>
    </w:rPr>
  </w:style>
  <w:style w:type="character" w:styleId="Heading5">
    <w:name w:val="Heading 5"/>
    <w:link w:val="Style_17"/>
    <w:qFormat/>
    <w:rPr>
      <w:rFonts w:ascii="XO Thames" w:hAnsi="XO Thames"/>
      <w:b/>
      <w:sz w:val="22"/>
    </w:rPr>
  </w:style>
  <w:style w:type="character" w:styleId="Heading1">
    <w:name w:val="Heading 1"/>
    <w:basedOn w:val="Style9"/>
    <w:link w:val="Style_18"/>
    <w:qFormat/>
    <w:rPr>
      <w:b/>
      <w:sz w:val="36"/>
    </w:rPr>
  </w:style>
  <w:style w:type="character" w:styleId="List">
    <w:name w:val="List"/>
    <w:basedOn w:val="Textbody"/>
    <w:link w:val="Style_19"/>
    <w:qFormat/>
    <w:rPr/>
  </w:style>
  <w:style w:type="character" w:styleId="DefaultParagraphFont">
    <w:name w:val="Default Paragraph Font"/>
    <w:link w:val="Style_20"/>
    <w:qFormat/>
    <w:rPr/>
  </w:style>
  <w:style w:type="character" w:styleId="Style11">
    <w:name w:val="Интернет-ссылка"/>
    <w:basedOn w:val="DefaultParagraphFont"/>
    <w:link w:val="Style_35"/>
    <w:rPr>
      <w:color w:val="0000FF"/>
      <w:u w:val="single"/>
    </w:rPr>
  </w:style>
  <w:style w:type="character" w:styleId="Footnote">
    <w:name w:val="Footnote"/>
    <w:link w:val="Style_22"/>
    <w:qFormat/>
    <w:rPr>
      <w:rFonts w:ascii="XO Thames" w:hAnsi="XO Thames"/>
      <w:sz w:val="22"/>
    </w:rPr>
  </w:style>
  <w:style w:type="character" w:styleId="Contents1">
    <w:name w:val="Contents 1"/>
    <w:link w:val="Style_23"/>
    <w:qFormat/>
    <w:rPr>
      <w:rFonts w:ascii="XO Thames" w:hAnsi="XO Thames"/>
      <w:b/>
      <w:sz w:val="28"/>
    </w:rPr>
  </w:style>
  <w:style w:type="character" w:styleId="HeaderandFooter">
    <w:name w:val="Header and Footer"/>
    <w:link w:val="Style_24"/>
    <w:qFormat/>
    <w:rPr>
      <w:rFonts w:ascii="XO Thames" w:hAnsi="XO Thames"/>
      <w:sz w:val="20"/>
    </w:rPr>
  </w:style>
  <w:style w:type="character" w:styleId="Contents9">
    <w:name w:val="Contents 9"/>
    <w:link w:val="Style_25"/>
    <w:qFormat/>
    <w:rPr>
      <w:rFonts w:ascii="XO Thames" w:hAnsi="XO Thames"/>
      <w:sz w:val="28"/>
    </w:rPr>
  </w:style>
  <w:style w:type="character" w:styleId="Contents8">
    <w:name w:val="Contents 8"/>
    <w:link w:val="Style_26"/>
    <w:qFormat/>
    <w:rPr>
      <w:rFonts w:ascii="XO Thames" w:hAnsi="XO Thames"/>
      <w:sz w:val="28"/>
    </w:rPr>
  </w:style>
  <w:style w:type="character" w:styleId="ConsPlusTitle">
    <w:name w:val="ConsPlusTitle"/>
    <w:link w:val="Style_3"/>
    <w:qFormat/>
    <w:rPr>
      <w:rFonts w:ascii="Arial" w:hAnsi="Arial"/>
      <w:b/>
      <w:color w:val="000000"/>
      <w:sz w:val="20"/>
    </w:rPr>
  </w:style>
  <w:style w:type="character" w:styleId="Style12">
    <w:name w:val="Текст выноски Знак"/>
    <w:basedOn w:val="DefaultParagraphFont"/>
    <w:link w:val="Style_27"/>
    <w:qFormat/>
    <w:rPr>
      <w:rFonts w:ascii="Tahoma" w:hAnsi="Tahoma"/>
      <w:sz w:val="16"/>
    </w:rPr>
  </w:style>
  <w:style w:type="character" w:styleId="Contents5">
    <w:name w:val="Contents 5"/>
    <w:link w:val="Style_28"/>
    <w:qFormat/>
    <w:rPr>
      <w:rFonts w:ascii="XO Thames" w:hAnsi="XO Thames"/>
      <w:sz w:val="28"/>
    </w:rPr>
  </w:style>
  <w:style w:type="character" w:styleId="Subtitle">
    <w:name w:val="Subtitle"/>
    <w:link w:val="Style_29"/>
    <w:qFormat/>
    <w:rPr>
      <w:rFonts w:ascii="XO Thames" w:hAnsi="XO Thames"/>
      <w:i/>
      <w:sz w:val="24"/>
    </w:rPr>
  </w:style>
  <w:style w:type="character" w:styleId="Title">
    <w:name w:val="Title"/>
    <w:link w:val="Style_30"/>
    <w:qFormat/>
    <w:rPr>
      <w:rFonts w:ascii="XO Thames" w:hAnsi="XO Thames"/>
      <w:b/>
      <w:caps/>
      <w:sz w:val="40"/>
    </w:rPr>
  </w:style>
  <w:style w:type="character" w:styleId="Caption">
    <w:name w:val="Caption"/>
    <w:link w:val="Style_31"/>
    <w:qFormat/>
    <w:rPr>
      <w:i/>
      <w:sz w:val="24"/>
    </w:rPr>
  </w:style>
  <w:style w:type="character" w:styleId="Heading4">
    <w:name w:val="Heading 4"/>
    <w:link w:val="Style_32"/>
    <w:qFormat/>
    <w:rPr>
      <w:rFonts w:ascii="XO Thames" w:hAnsi="XO Thames"/>
      <w:b/>
      <w:sz w:val="24"/>
    </w:rPr>
  </w:style>
  <w:style w:type="character" w:styleId="Style13">
    <w:name w:val="Указатель"/>
    <w:link w:val="Style_33"/>
    <w:qFormat/>
    <w:rPr/>
  </w:style>
  <w:style w:type="character" w:styleId="Heading2">
    <w:name w:val="Heading 2"/>
    <w:link w:val="Style_34"/>
    <w:qFormat/>
    <w:rPr>
      <w:rFonts w:ascii="XO Thames" w:hAnsi="XO Thames"/>
      <w:b/>
      <w:sz w:val="28"/>
    </w:rPr>
  </w:style>
  <w:style w:type="character" w:styleId="Style14">
    <w:name w:val="Содержимое таблицы"/>
    <w:link w:val="Style_16"/>
    <w:qFormat/>
    <w:rPr/>
  </w:style>
  <w:style w:type="paragraph" w:styleId="Style15">
    <w:name w:val="Заголовок"/>
    <w:basedOn w:val="Normal"/>
    <w:next w:val="Style16"/>
    <w:link w:val="Style_12_ch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6">
    <w:name w:val="Body Text"/>
    <w:basedOn w:val="Normal"/>
    <w:link w:val="Style_10_ch"/>
    <w:pPr>
      <w:spacing w:lineRule="auto" w:line="276" w:before="0" w:after="140"/>
    </w:pPr>
    <w:rPr/>
  </w:style>
  <w:style w:type="paragraph" w:styleId="Style17">
    <w:name w:val="List"/>
    <w:basedOn w:val="Style16"/>
    <w:link w:val="Style_19_ch"/>
    <w:pPr/>
    <w:rPr/>
  </w:style>
  <w:style w:type="paragraph" w:styleId="Style18">
    <w:name w:val="Caption"/>
    <w:basedOn w:val="Normal"/>
    <w:link w:val="Style_31_ch"/>
    <w:qFormat/>
    <w:pPr>
      <w:spacing w:before="120" w:after="120"/>
    </w:pPr>
    <w:rPr>
      <w:i/>
      <w:sz w:val="24"/>
    </w:rPr>
  </w:style>
  <w:style w:type="paragraph" w:styleId="Style19">
    <w:name w:val="Указатель"/>
    <w:basedOn w:val="Normal"/>
    <w:link w:val="Style_33_ch"/>
    <w:qFormat/>
    <w:pPr/>
    <w:rPr/>
  </w:style>
  <w:style w:type="paragraph" w:styleId="21">
    <w:name w:val="TOC 2"/>
    <w:next w:val="Normal"/>
    <w:link w:val="Style_5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link w:val="Style_6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link w:val="Style_7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link w:val="Style_8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"/>
    <w:basedOn w:val="Normal"/>
    <w:link w:val="Style_11_ch"/>
    <w:qFormat/>
    <w:pPr>
      <w:spacing w:before="0" w:after="200"/>
      <w:ind w:left="720" w:right="0" w:hanging="0"/>
      <w:contextualSpacing/>
    </w:pPr>
    <w:rPr/>
  </w:style>
  <w:style w:type="paragraph" w:styleId="ConsPlusNormal1">
    <w:name w:val="ConsPlusNormal"/>
    <w:link w:val="Style_2_ch"/>
    <w:qFormat/>
    <w:pPr>
      <w:widowControl w:val="false"/>
      <w:bidi w:val="0"/>
      <w:spacing w:lineRule="auto" w:line="240" w:before="0" w:after="0"/>
      <w:ind w:left="0" w:right="0" w:firstLine="720"/>
      <w:jc w:val="left"/>
    </w:pPr>
    <w:rPr>
      <w:rFonts w:ascii="Arial" w:hAnsi="Arial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31">
    <w:name w:val="TOC 3"/>
    <w:next w:val="Normal"/>
    <w:link w:val="Style_13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"/>
    <w:basedOn w:val="Normal"/>
    <w:link w:val="Style_14_ch"/>
    <w:qFormat/>
    <w:pPr>
      <w:spacing w:lineRule="auto" w:line="240" w:before="0" w:after="0"/>
    </w:pPr>
    <w:rPr>
      <w:rFonts w:ascii="Tahoma" w:hAnsi="Tahoma"/>
      <w:sz w:val="16"/>
    </w:rPr>
  </w:style>
  <w:style w:type="paragraph" w:styleId="Style20">
    <w:name w:val="Содержимое таблицы"/>
    <w:basedOn w:val="Normal"/>
    <w:link w:val="Style_16_ch"/>
    <w:qFormat/>
    <w:pPr>
      <w:widowControl w:val="false"/>
    </w:pPr>
    <w:rPr/>
  </w:style>
  <w:style w:type="paragraph" w:styleId="Style21">
    <w:name w:val="Заголовок таблицы"/>
    <w:basedOn w:val="Style20"/>
    <w:link w:val="Style_15_ch"/>
    <w:qFormat/>
    <w:pPr>
      <w:jc w:val="center"/>
    </w:pPr>
    <w:rPr>
      <w:b/>
    </w:rPr>
  </w:style>
  <w:style w:type="paragraph" w:styleId="DefaultParagraphFont1">
    <w:name w:val="Default Paragraph Font"/>
    <w:link w:val="Style_2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">
    <w:name w:val="Hyperlink"/>
    <w:link w:val="Style_2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Style_22_ch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23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22">
    <w:name w:val="Верхний и нижний колонтитулы"/>
    <w:link w:val="Style_24_ch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25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link w:val="Style_26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"/>
    <w:link w:val="Style_3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Style23">
    <w:name w:val="Текст выноски Знак"/>
    <w:basedOn w:val="DefaultParagraphFont1"/>
    <w:link w:val="Style_27_ch"/>
    <w:qFormat/>
    <w:pPr/>
    <w:rPr>
      <w:rFonts w:ascii="Tahoma" w:hAnsi="Tahoma"/>
      <w:sz w:val="16"/>
    </w:rPr>
  </w:style>
  <w:style w:type="paragraph" w:styleId="51">
    <w:name w:val="TOC 5"/>
    <w:next w:val="Normal"/>
    <w:link w:val="Style_28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4">
    <w:name w:val="Subtitle"/>
    <w:next w:val="Normal"/>
    <w:link w:val="Style_29_ch"/>
    <w:uiPriority w:val="11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25">
    <w:name w:val="Title"/>
    <w:next w:val="Normal"/>
    <w:link w:val="Style_30_ch"/>
    <w:uiPriority w:val="10"/>
    <w:qFormat/>
    <w:pPr>
      <w:widowControl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26">
    <w:name w:val="Интернет-ссылка"/>
    <w:basedOn w:val="DefaultParagraphFont1"/>
    <w:link w:val="Style_35_ch"/>
    <w:qFormat/>
    <w:pPr/>
    <w:rPr>
      <w:color w:val="0000FF"/>
      <w:u w:val="single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LibreOffice/6.4.1.2$Windows_x86 LibreOffice_project/4d224e95b98b138af42a64d84056446d09082932</Application>
  <Pages>9</Pages>
  <Words>1838</Words>
  <Characters>12903</Characters>
  <CharactersWithSpaces>14378</CharactersWithSpaces>
  <Paragraphs>551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2022-11-01T15:36:44Z</cp:lastPrinted>
  <dcterms:modified xsi:type="dcterms:W3CDTF">2022-11-01T15:42:08Z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