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bookmarkStart w:id="0" w:name="__DdeLink__2753_2920879296"/>
      <w:r>
        <w:rPr>
          <w:rFonts w:ascii="Times New Roman" w:hAnsi="Times New Roman"/>
          <w:b/>
          <w:sz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19.12.2022 года  №354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муниципальной программы «</w:t>
      </w:r>
      <w:r>
        <w:rPr>
          <w:rFonts w:ascii="Times New Roman" w:hAnsi="Times New Roman"/>
          <w:b/>
          <w:spacing w:val="2"/>
          <w:sz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b/>
          <w:sz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ind w:left="0" w:right="0" w:firstLine="540"/>
        <w:jc w:val="both"/>
        <w:rPr>
          <w:spacing w:val="2"/>
        </w:rPr>
      </w:pPr>
      <w:r>
        <w:rPr>
          <w:spacing w:val="2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 администрация Ильинского муниципального района </w:t>
      </w:r>
      <w:r>
        <w:rPr>
          <w:b/>
          <w:spacing w:val="2"/>
        </w:rPr>
        <w:t>п о с т а н о в л я е т: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pacing w:val="2"/>
          <w:sz w:val="16"/>
        </w:rPr>
      </w:pPr>
      <w:r>
        <w:rPr>
          <w:rFonts w:ascii="Times New Roman" w:hAnsi="Times New Roman"/>
          <w:spacing w:val="2"/>
          <w:sz w:val="28"/>
        </w:rPr>
        <w:t>Утвердить муниципальную программу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pacing w:val="2"/>
          <w:sz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pacing w:val="2"/>
          <w:sz w:val="28"/>
        </w:rPr>
        <w:t xml:space="preserve"> (прилагается).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b w:val="false"/>
          <w:b w:val="false"/>
          <w:spacing w:val="2"/>
          <w:sz w:val="16"/>
        </w:rPr>
      </w:pPr>
      <w:r>
        <w:rPr>
          <w:rFonts w:ascii="Times New Roman" w:hAnsi="Times New Roman"/>
          <w:b w:val="false"/>
          <w:sz w:val="28"/>
        </w:rPr>
        <w:t>Отменить постановление администрации Ильинского муниципального района от 08.12.2016 №329 «Об утверждении муниципальной программы «</w:t>
      </w:r>
      <w:r>
        <w:rPr>
          <w:rFonts w:ascii="Times New Roman" w:hAnsi="Times New Roman"/>
          <w:b w:val="false"/>
          <w:spacing w:val="2"/>
          <w:sz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b w:val="false"/>
          <w:sz w:val="28"/>
        </w:rPr>
        <w:t>».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/>
      </w:pPr>
      <w:r>
        <w:rPr>
          <w:rFonts w:ascii="Times New Roman" w:hAnsi="Times New Roman"/>
          <w:spacing w:val="2"/>
          <w:sz w:val="28"/>
        </w:rPr>
        <w:t xml:space="preserve">Опубликовать (обнародовать) настоящее постановление в официальном сетевом издании - официальном сайте Ильинского муниципального района </w:t>
      </w:r>
      <w:hyperlink r:id="rId2">
        <w:r>
          <w:rPr>
            <w:rStyle w:val="Style10"/>
            <w:rFonts w:ascii="Times New Roman" w:hAnsi="Times New Roman"/>
            <w:spacing w:val="2"/>
            <w:sz w:val="28"/>
          </w:rPr>
          <w:t>www.admilinskoe.ru</w:t>
        </w:r>
      </w:hyperlink>
      <w:r>
        <w:rPr/>
        <w:t xml:space="preserve"> </w:t>
      </w:r>
      <w:r>
        <w:rPr>
          <w:rFonts w:ascii="Times New Roman" w:hAnsi="Times New Roman"/>
          <w:spacing w:val="2"/>
          <w:sz w:val="28"/>
        </w:rPr>
        <w:t>в информационно — телекоммуникационной сети «Интернет».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pacing w:val="2"/>
          <w:sz w:val="16"/>
        </w:rPr>
      </w:pPr>
      <w:r>
        <w:rPr>
          <w:rFonts w:ascii="Times New Roman" w:hAnsi="Times New Roman"/>
          <w:spacing w:val="2"/>
          <w:sz w:val="28"/>
        </w:rPr>
        <w:t>Настоящее постановление вступает в силу после его официального опубликования (обнародования).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426" w:right="0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за выполнением настоящего постановления возложить на заместителя главы администрации, начальника отдела экономики и муниципального хозяйства администрации Ильинского муниципального района.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Глава Ильинского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16"/>
        </w:rPr>
      </w:pPr>
      <w:bookmarkStart w:id="1" w:name="__DdeLink__2753_2920879296"/>
      <w:bookmarkEnd w:id="1"/>
      <w:r>
        <w:rPr>
          <w:rFonts w:ascii="Times New Roman" w:hAnsi="Times New Roman"/>
          <w:b/>
          <w:sz w:val="28"/>
        </w:rPr>
        <w:t>муниципального района:</w:t>
        <w:tab/>
        <w:tab/>
        <w:tab/>
        <w:tab/>
        <w:tab/>
        <w:t xml:space="preserve">            С.И. Васютинский</w:t>
      </w:r>
      <w:r>
        <w:br w:type="page"/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 xml:space="preserve">от 19.12.2022 года   №354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МУНИЦИПАЛЬНАЯ ПРОГРАММА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 xml:space="preserve">Обеспечение населения объектами инженерной инфраструктуры и услугами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pacing w:val="2"/>
          <w:sz w:val="24"/>
        </w:rPr>
        <w:t>жилищно-коммунального хозяйства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 xml:space="preserve">Обеспечение населения объектами инженерной инфраструктуры и услугами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pacing w:val="2"/>
          <w:sz w:val="24"/>
        </w:rPr>
        <w:t>жилищно-коммунального хозяйства Ильинского городского поселения</w:t>
      </w:r>
      <w:r>
        <w:rPr>
          <w:rFonts w:ascii="Times New Roman" w:hAnsi="Times New Roman"/>
          <w:b/>
          <w:sz w:val="24"/>
        </w:rPr>
        <w:t>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272"/>
        <w:gridCol w:w="6224"/>
      </w:tblGrid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pacing w:val="2"/>
                <w:sz w:val="24"/>
              </w:rPr>
              <w:t>Обеспечение населения объектами инженерной инфраструктуры и услугами жилищно-коммунального хозяйства Ильинского городского поселения»</w:t>
            </w:r>
          </w:p>
        </w:tc>
      </w:tr>
      <w:tr>
        <w:trPr>
          <w:trHeight w:val="120" w:hRule="atLeast"/>
        </w:trPr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2021-2025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Администратор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Исполнители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«ЖКХ (Ильинское)»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Перечень подпрограмм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right="0" w:firstLine="201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городского поселения.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right="0" w:firstLine="201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right="0" w:firstLine="201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Реализация мероприятий по организации в границах Ильинского городского поселения электро, тепло, газо, водоснабжения и водоотведения.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Tekstob1"/>
              <w:widowControl w:val="false"/>
              <w:spacing w:lineRule="auto" w:line="240" w:before="0" w:after="0"/>
              <w:jc w:val="both"/>
              <w:rPr/>
            </w:pPr>
            <w:r>
              <w:rPr/>
              <w:t>- улучшение обеспечения качественной питьевой водой и подача ее населению Ильинского городского поселения;</w:t>
            </w:r>
          </w:p>
          <w:p>
            <w:pPr>
              <w:pStyle w:val="Tekstob1"/>
              <w:widowControl w:val="false"/>
              <w:spacing w:lineRule="auto" w:line="240" w:before="280" w:after="0"/>
              <w:jc w:val="both"/>
              <w:rPr/>
            </w:pPr>
            <w:r>
              <w:rPr/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1"/>
              <w:widowControl w:val="false"/>
              <w:spacing w:lineRule="auto" w:line="240" w:before="280" w:after="0"/>
              <w:jc w:val="both"/>
              <w:rPr>
                <w:color w:val="FF0000"/>
              </w:rPr>
            </w:pPr>
            <w:r>
              <w:rPr/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Целевые индикаторы и ожидаемые результаты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возмещение разницы между  экономически обоснованным тарифом и тарифом, установленным  для населения (ремонт и содержание муниципального жилищного фонда);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оплата займа по переводу на индивидуальное газовое отопление муниципального жилищного фонда в п. Ильинское-Хованское;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и содержание муниципального жилищного фонда.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доля уличной канализационной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число аварий в системах водоснабжения водоотведения и очистки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объем сточных вод, пропущенных через очистные сооружения, в общем объеме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обеспеченность населения централизованными услугами водообеспечения;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обеспеченность населения централизованными услугами водоотведения.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Задачи 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комфортных и безопасных условий проживания граждан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реализация механизма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оперативное реагирование на аварийные ситуации в сфере ЖКХ.</w:t>
            </w:r>
          </w:p>
        </w:tc>
      </w:tr>
      <w:tr>
        <w:trPr>
          <w:trHeight w:val="2917" w:hRule="atLeast"/>
        </w:trPr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w="6224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  <w:insideH w:val="single" w:sz="4" w:space="0" w:color="2A6099"/>
              <w:insideV w:val="single" w:sz="4" w:space="0" w:color="2A6099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 2021 – 2025 годы: 6</w:t>
            </w:r>
            <w:r>
              <w:rPr>
                <w:b/>
                <w:color w:val="000000"/>
                <w:sz w:val="24"/>
              </w:rPr>
              <w:t>449,4 тыс. руб.,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в том числе средства местного бюджета: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2021 год – 1050,0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2022 год – 1902,0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2023 год – 1140,6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2024 год - 1178,4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2025 год - 1178,4 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2. Анализ текущей ситуации в сфере реализации муниципальной программы</w:t>
      </w:r>
    </w:p>
    <w:p>
      <w:pPr>
        <w:pStyle w:val="Normal"/>
        <w:spacing w:lineRule="auto" w:line="240" w:before="0" w:after="0"/>
        <w:ind w:left="59" w:right="0" w:hanging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</w:r>
    </w:p>
    <w:p>
      <w:pPr>
        <w:pStyle w:val="Normal"/>
        <w:spacing w:lineRule="auto" w:line="240" w:before="0" w:after="0"/>
        <w:ind w:left="59" w:right="0" w:hanging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</w:r>
    </w:p>
    <w:p>
      <w:pPr>
        <w:pStyle w:val="Normal"/>
        <w:spacing w:lineRule="auto" w:line="240" w:before="0" w:after="0"/>
        <w:ind w:left="59" w:right="0" w:hanging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  <w:t>2.1. Содержание муниципального жилищного фонда Ильинского городского поселения</w:t>
      </w:r>
    </w:p>
    <w:p>
      <w:pPr>
        <w:pStyle w:val="Normal"/>
        <w:spacing w:lineRule="auto" w:line="240" w:before="0" w:after="0"/>
        <w:ind w:left="59" w:right="0" w:hanging="0"/>
        <w:jc w:val="center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spacing w:val="2"/>
          <w:sz w:val="24"/>
        </w:rPr>
        <w:tab/>
        <w:t>На территории Ильинского городского поселения расположено 32 многоквартирных дома. Общая площадь жилищного фонда по состоянию на 01.12.2016 составляет 1193,8 кв.м. Жилищный фонд Ильинского городского поселения имеет срок эксплуатации</w:t>
      </w:r>
      <w:r>
        <w:rPr>
          <w:rFonts w:ascii="Times New Roman" w:hAnsi="Times New Roman"/>
          <w:color w:val="000000"/>
          <w:spacing w:val="2"/>
          <w:sz w:val="24"/>
        </w:rPr>
        <w:t xml:space="preserve"> более 25 лет.</w:t>
      </w:r>
      <w:r>
        <w:rPr>
          <w:rFonts w:ascii="Times New Roman" w:hAnsi="Times New Roman"/>
          <w:color w:val="2D2D2D"/>
          <w:spacing w:val="2"/>
          <w:sz w:val="24"/>
        </w:rPr>
        <w:t>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pacing w:val="2"/>
          <w:sz w:val="24"/>
        </w:rPr>
      </w:pPr>
      <w:r>
        <w:rPr>
          <w:rFonts w:ascii="Times New Roman" w:hAnsi="Times New Roman"/>
          <w:color w:val="000000"/>
          <w:spacing w:val="2"/>
          <w:sz w:val="24"/>
        </w:rPr>
        <w:tab/>
        <w:t>Помимо многолетней эксплуатации жилищного фонда в п.Ильинское-Хованское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pacing w:val="2"/>
          <w:sz w:val="24"/>
        </w:rPr>
      </w:pPr>
      <w:r>
        <w:rPr>
          <w:rFonts w:ascii="Times New Roman" w:hAnsi="Times New Roman"/>
          <w:color w:val="000000"/>
          <w:spacing w:val="2"/>
          <w:sz w:val="24"/>
        </w:rPr>
        <w:tab/>
        <w:t>В настоящее время состояние муниципального жилищного фонда характеризуется как удовлетворительное.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pacing w:val="2"/>
          <w:sz w:val="24"/>
        </w:rPr>
      </w:pPr>
      <w:r>
        <w:rPr>
          <w:rFonts w:ascii="Times New Roman" w:hAnsi="Times New Roman"/>
          <w:color w:val="000000"/>
          <w:spacing w:val="2"/>
          <w:sz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000000"/>
          <w:spacing w:val="2"/>
          <w:sz w:val="24"/>
        </w:rPr>
      </w:pPr>
      <w:r>
        <w:rPr>
          <w:rFonts w:ascii="Times New Roman" w:hAnsi="Times New Roman"/>
          <w:color w:val="000000"/>
          <w:spacing w:val="2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</w:r>
    </w:p>
    <w:p>
      <w:pPr>
        <w:pStyle w:val="Normal"/>
        <w:numPr>
          <w:ilvl w:val="1"/>
          <w:numId w:val="3"/>
        </w:numPr>
        <w:spacing w:lineRule="auto" w:line="240" w:before="0" w:after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2"/>
          <w:sz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Ильинское городское поселение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</w:t>
      </w:r>
      <w:r>
        <w:rPr>
          <w:rFonts w:ascii="Times New Roman" w:hAnsi="Times New Roman"/>
          <w:color w:val="000000"/>
          <w:sz w:val="24"/>
        </w:rPr>
        <w:t xml:space="preserve">в настоящее время составил более </w:t>
      </w:r>
      <w:r>
        <w:rPr>
          <w:rFonts w:ascii="Times New Roman" w:hAnsi="Times New Roman"/>
          <w:sz w:val="24"/>
        </w:rPr>
        <w:t xml:space="preserve">92%. Напорные трубы скважин, обеспечивающих подъем и подачу воды в водопроводные сети, на сегодняшний день требуют 100% замены. 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pacing w:val="2"/>
          <w:sz w:val="24"/>
          <w:highlight w:val="white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Данная программа направлена на повышение надежности и качества водообеспечения населения, объектов соц. культ быта, предприятий и организаций Ильинского городского поселения и его реализация требует дополнительного целевого финансового обеспечения.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pacing w:val="2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pacing w:val="2"/>
          <w:sz w:val="24"/>
        </w:rPr>
      </w:r>
    </w:p>
    <w:p>
      <w:pPr>
        <w:pStyle w:val="Normal"/>
        <w:numPr>
          <w:ilvl w:val="1"/>
          <w:numId w:val="3"/>
        </w:numPr>
        <w:spacing w:lineRule="auto" w:line="240" w:before="0" w:after="0"/>
        <w:jc w:val="center"/>
        <w:rPr>
          <w:rFonts w:ascii="Times New Roman" w:hAnsi="Times New Roman"/>
          <w:b/>
          <w:b/>
          <w:color w:val="2D2D2D"/>
          <w:spacing w:val="2"/>
          <w:sz w:val="24"/>
        </w:rPr>
      </w:pPr>
      <w:r>
        <w:rPr>
          <w:rFonts w:ascii="Times New Roman" w:hAnsi="Times New Roman"/>
          <w:b/>
          <w:sz w:val="24"/>
        </w:rPr>
        <w:t>Реализация мероприятий по организации в границах Ильинского городского поселения электро, тепло, газо, водоснабжения населения и водоотведения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olor w:val="2D2D2D"/>
          <w:spacing w:val="2"/>
          <w:sz w:val="24"/>
        </w:rPr>
      </w:pPr>
      <w:r>
        <w:rPr>
          <w:rFonts w:ascii="Times New Roman" w:hAnsi="Times New Roman"/>
          <w:b/>
          <w:color w:val="2D2D2D"/>
          <w:spacing w:val="2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imes New Roman" w:hAnsi="Times New Roman"/>
          <w:sz w:val="24"/>
        </w:rPr>
        <w:tab/>
        <w:t>На сегодняшний день на территории Ильинского городского поселения в результате расширения сети потребителей воды возникает необходимость бурения дополнительных артезианских скважин.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Данная 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24"/>
        </w:rPr>
        <w:t>3.  Цели и ожидаемые результаты реализации муниципальной программы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z w:val="24"/>
        </w:rPr>
        <w:tab/>
        <w:t>Целями муниципальной программы «</w:t>
      </w:r>
      <w:r>
        <w:rPr>
          <w:rFonts w:ascii="Times New Roman" w:hAnsi="Times New Roman"/>
          <w:spacing w:val="2"/>
          <w:sz w:val="24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поселения» являются: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hanging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hanging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населения;</w:t>
      </w:r>
    </w:p>
    <w:p>
      <w:pPr>
        <w:pStyle w:val="Formattext1"/>
        <w:spacing w:before="280" w:after="0"/>
        <w:jc w:val="both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1"/>
        <w:spacing w:before="280" w:after="0"/>
        <w:jc w:val="both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городского поселения;</w:t>
      </w:r>
    </w:p>
    <w:p>
      <w:pPr>
        <w:pStyle w:val="Formattext1"/>
        <w:spacing w:before="280" w:after="0"/>
        <w:jc w:val="both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1"/>
        <w:spacing w:before="280" w:after="0"/>
        <w:jc w:val="both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hanging="0"/>
        <w:jc w:val="both"/>
        <w:outlineLvl w:val="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ab/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hanging="0"/>
        <w:jc w:val="both"/>
        <w:outlineLvl w:val="1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ab/>
        <w:t>Реализация мероприятий программы позволит:</w:t>
      </w:r>
    </w:p>
    <w:p>
      <w:pPr>
        <w:pStyle w:val="Normal"/>
        <w:spacing w:lineRule="auto" w:line="240" w:before="0" w:after="0"/>
        <w:jc w:val="both"/>
        <w:rPr>
          <w:color w:val="2D2D2D"/>
          <w:spacing w:val="2"/>
        </w:rPr>
      </w:pPr>
      <w:r>
        <w:rPr>
          <w:rFonts w:ascii="Times New Roman" w:hAnsi="Times New Roman"/>
          <w:color w:val="000000"/>
          <w:sz w:val="24"/>
          <w:highlight w:val="white"/>
        </w:rPr>
        <w:t>- создать комфортные и безопасные условия проживания граждан в жилых помещениях;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экологическую безопасность и комфортность проживания граждан;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444444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  <w:highlight w:val="white"/>
        </w:rPr>
        <w:t>снизить уровень потерь питьевой воды;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color w:val="000000"/>
          <w:sz w:val="24"/>
          <w:highlight w:val="white"/>
        </w:rPr>
        <w:t>3.1.</w:t>
      </w:r>
      <w:r>
        <w:rPr>
          <w:rFonts w:ascii="Times New Roman" w:hAnsi="Times New Roman"/>
          <w:b/>
          <w:sz w:val="24"/>
        </w:rPr>
        <w:t xml:space="preserve"> Целевые индикаторы и ожидаемые результаты реализации программы</w:t>
      </w:r>
    </w:p>
    <w:p>
      <w:pPr>
        <w:pStyle w:val="Normal"/>
        <w:spacing w:lineRule="auto" w:line="240" w:before="0" w:after="0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Style w:val="Style_4"/>
        <w:tblW w:w="9497" w:type="dxa"/>
        <w:jc w:val="left"/>
        <w:tblInd w:w="0" w:type="dxa"/>
        <w:tblBorders>
          <w:top w:val="single" w:sz="6" w:space="0" w:color="000001"/>
          <w:left w:val="single" w:sz="6" w:space="0" w:color="000001"/>
          <w:right w:val="single" w:sz="6" w:space="0" w:color="000001"/>
          <w:insideV w:val="single" w:sz="6" w:space="0" w:color="000001"/>
        </w:tblBorders>
        <w:tblCellMar>
          <w:top w:w="0" w:type="dxa"/>
          <w:left w:w="32" w:type="dxa"/>
          <w:bottom w:w="0" w:type="dxa"/>
          <w:right w:w="40" w:type="dxa"/>
        </w:tblCellMar>
      </w:tblPr>
      <w:tblGrid>
        <w:gridCol w:w="3171"/>
        <w:gridCol w:w="861"/>
        <w:gridCol w:w="1110"/>
        <w:gridCol w:w="917"/>
        <w:gridCol w:w="914"/>
        <w:gridCol w:w="871"/>
        <w:gridCol w:w="824"/>
        <w:gridCol w:w="827"/>
      </w:tblGrid>
      <w:tr>
        <w:trPr>
          <w:trHeight w:val="1063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Ед. изм.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Исходный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показатель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2024</w:t>
            </w:r>
            <w:r>
              <w:rPr/>
              <w:br/>
            </w:r>
            <w:r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>
        <w:trPr>
          <w:trHeight w:val="1145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28,6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Доля уличной водопроводной сети, нуждающейся в замене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</w:tr>
      <w:tr>
        <w:trPr>
          <w:trHeight w:val="494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Доля уличной канализационной сети, нуждающейся в замене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</w:tr>
      <w:tr>
        <w:trPr>
          <w:trHeight w:val="64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</w:tr>
      <w:tr>
        <w:trPr>
          <w:trHeight w:val="76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</w:tr>
      <w:tr>
        <w:trPr>
          <w:trHeight w:val="699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централизованными услугами водообеспечения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62,3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</w:tr>
      <w:tr>
        <w:trPr>
          <w:trHeight w:val="758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</w:tr>
      <w:tr>
        <w:trPr>
          <w:trHeight w:val="167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Возмещение разницы между экономически обоснованным тарифом и тарифом, установленным для населения (ремонт и содержание муниципального жилищного фонда)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>
        <w:trPr>
          <w:trHeight w:val="447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Оплата коммунальных услуг пустующих муниципальных квартир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val="992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Оплата займа по переводу на индивидуальное газовое отопление муниципального жилищного фонда в п. Ильинское-Хованское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rPr>
          <w:trHeight w:val="1224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</w:tr>
      <w:tr>
        <w:trPr>
          <w:trHeight w:val="57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содержание муниципального жилищного фонда</w:t>
            </w:r>
          </w:p>
        </w:tc>
        <w:tc>
          <w:tcPr>
            <w:tcW w:w="8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111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91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2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2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</w:tr>
    </w:tbl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center"/>
        <w:rPr>
          <w:rFonts w:ascii="Times New Roman" w:hAnsi="Times New Roman"/>
          <w:b/>
          <w:b/>
          <w:color w:val="000000"/>
          <w:sz w:val="24"/>
          <w:highlight w:val="white"/>
        </w:rPr>
      </w:pPr>
      <w:r>
        <w:rPr>
          <w:rFonts w:ascii="Times New Roman" w:hAnsi="Times New Roman"/>
          <w:b/>
          <w:color w:val="000000"/>
          <w:sz w:val="24"/>
          <w:highlight w:val="white"/>
        </w:rPr>
        <w:t>4. Обоснование выделения подпрограмм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2"/>
          <w:sz w:val="24"/>
        </w:rPr>
      </w:pPr>
      <w:r>
        <w:rPr>
          <w:rFonts w:ascii="Times New Roman" w:hAnsi="Times New Roman"/>
          <w:sz w:val="24"/>
        </w:rPr>
        <w:tab/>
        <w:t xml:space="preserve">В программе </w:t>
      </w:r>
      <w:r>
        <w:rPr>
          <w:rFonts w:ascii="Times New Roman" w:hAnsi="Times New Roman"/>
          <w:spacing w:val="2"/>
          <w:sz w:val="24"/>
        </w:rPr>
        <w:t>«Обеспечение населения объектами инженерной инфраструктуры и услугами жилищно-коммунального хозяйства Ильинского городского поселения, для более полного раскрытия проблем выделены три подпрограммы:</w:t>
      </w:r>
      <w:r>
        <w:rPr>
          <w:rFonts w:ascii="Times New Roman" w:hAnsi="Times New Roman"/>
          <w:spacing w:val="-2"/>
          <w:sz w:val="24"/>
        </w:rPr>
        <w:t xml:space="preserve"> «Содержание муниципального жилищного фонда Ильинского городского поселения»;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pacing w:val="2"/>
          <w:sz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  <w:r>
        <w:rPr>
          <w:rFonts w:ascii="Times New Roman" w:hAnsi="Times New Roman"/>
          <w:sz w:val="24"/>
        </w:rPr>
        <w:t>»; «</w:t>
      </w:r>
      <w:r>
        <w:rPr>
          <w:rFonts w:ascii="Times New Roman" w:hAnsi="Times New Roman"/>
          <w:spacing w:val="2"/>
          <w:sz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водоотведения». В каждой из перечисленных подпрограммах обозначены проблемы, цели и задачи, целевые показатели, ожидаемые результаты и мероприятия  подпрограмм.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5.Ресурсное обеспечение муниципальной 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9389" w:type="dxa"/>
        <w:jc w:val="left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609"/>
        <w:gridCol w:w="1415"/>
        <w:gridCol w:w="1543"/>
        <w:gridCol w:w="1637"/>
        <w:gridCol w:w="1535"/>
        <w:gridCol w:w="1649"/>
      </w:tblGrid>
      <w:tr>
        <w:trPr>
          <w:trHeight w:val="478" w:hRule="atLeast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финансирования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 источники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1050,0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1902,0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1140,6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1178,4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1178,4</w:t>
            </w:r>
          </w:p>
        </w:tc>
      </w:tr>
      <w:tr>
        <w:trPr/>
        <w:tc>
          <w:tcPr>
            <w:tcW w:w="93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i/>
                <w:i/>
                <w:spacing w:val="-2"/>
                <w:sz w:val="24"/>
                <w:u w:val="single"/>
              </w:rPr>
            </w:pPr>
            <w:r>
              <w:rPr>
                <w:b/>
                <w:i/>
                <w:spacing w:val="-2"/>
                <w:sz w:val="24"/>
                <w:u w:val="single"/>
              </w:rPr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i/>
                <w:i/>
                <w:spacing w:val="-2"/>
                <w:sz w:val="24"/>
              </w:rPr>
            </w:pPr>
            <w:r>
              <w:rPr>
                <w:b/>
                <w:i/>
                <w:spacing w:val="-2"/>
                <w:sz w:val="24"/>
                <w:u w:val="single"/>
              </w:rPr>
              <w:t>Подпрограмма</w:t>
            </w:r>
            <w:r>
              <w:rPr>
                <w:b/>
                <w:i/>
                <w:spacing w:val="-2"/>
                <w:sz w:val="24"/>
              </w:rPr>
              <w:t>: Содержание муниципального жилищного фонда Ильинского городского поселения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i/>
                <w:i/>
                <w:spacing w:val="-2"/>
                <w:sz w:val="24"/>
                <w:u w:val="single"/>
              </w:rPr>
            </w:pPr>
            <w:r>
              <w:rPr>
                <w:b/>
                <w:i/>
                <w:spacing w:val="-2"/>
                <w:sz w:val="24"/>
                <w:u w:val="single"/>
              </w:rPr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410,0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300,0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>
        <w:trPr/>
        <w:tc>
          <w:tcPr>
            <w:tcW w:w="93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u w:val="single"/>
              </w:rPr>
              <w:t>Подпрограмма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: Создание условий для более эффективной работы 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холодного водоснабжения, водоотведения и очистке сточных вод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u w:val="single"/>
              </w:rPr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700,0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1226,0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640,6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640,6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640,6</w:t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>
        <w:trPr/>
        <w:tc>
          <w:tcPr>
            <w:tcW w:w="93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i/>
                <w:i/>
                <w:sz w:val="24"/>
                <w:u w:val="single"/>
              </w:rPr>
            </w:pPr>
            <w:r>
              <w:rPr>
                <w:b/>
                <w:i/>
                <w:sz w:val="24"/>
                <w:u w:val="single"/>
              </w:rPr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Подпрограмма</w:t>
            </w:r>
            <w:r>
              <w:rPr>
                <w:b/>
                <w:i/>
                <w:sz w:val="24"/>
              </w:rPr>
              <w:t>: Реализация мероприятий по организации в границах Ильинского городского поселения электро, тепло, газо, водоснабжение населения и водоотведения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i/>
                <w:i/>
                <w:sz w:val="24"/>
                <w:u w:val="single"/>
              </w:rPr>
            </w:pPr>
            <w:r>
              <w:rPr>
                <w:b/>
                <w:i/>
                <w:sz w:val="24"/>
                <w:u w:val="single"/>
              </w:rPr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266,0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287,8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287,8</w:t>
            </w:r>
          </w:p>
        </w:tc>
      </w:tr>
      <w:tr>
        <w:trPr/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1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к  Муниципальной программе «Обеспечение населения объектами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инженерной инфраструктуры и услугами жилищно-коммунального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хозяйства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ПОДПРОГРАММА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  <w:t>«Содержание муниципального жилищного фонда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подпрограммы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pacing w:val="-2"/>
          <w:sz w:val="24"/>
        </w:rPr>
        <w:t>«Содержание муниципального жилищного фонда Ильинского городского поселения»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25"/>
        <w:gridCol w:w="6471"/>
      </w:tblGrid>
      <w:tr>
        <w:trPr/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«Содержание муниципального жилищного фонда Ильинского городского поселения»</w:t>
            </w:r>
          </w:p>
        </w:tc>
      </w:tr>
      <w:tr>
        <w:trPr>
          <w:trHeight w:val="120" w:hRule="atLeast"/>
        </w:trPr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– 2025</w:t>
            </w:r>
          </w:p>
        </w:tc>
      </w:tr>
      <w:tr>
        <w:trPr/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Администратор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Исполнители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1"/>
              <w:widowControl w:val="false"/>
              <w:spacing w:lineRule="auto" w:line="240" w:before="280" w:after="0"/>
              <w:jc w:val="both"/>
              <w:rPr/>
            </w:pPr>
            <w:r>
              <w:rPr/>
              <w:t>-совершенствование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>
          <w:trHeight w:val="2071" w:hRule="atLeast"/>
        </w:trPr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Целевые индикаторы и ожидаемые результаты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возмещение разницы между  экономически обоснованным тарифом и тарифом, установленным  для населения;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оплата займа по переводу на индивидуальное газовое отопление муниципального жилищного фонда в пос. Ильинское-Хованское;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и содержание муниципального жилищного фонда.</w:t>
            </w:r>
          </w:p>
        </w:tc>
      </w:tr>
      <w:tr>
        <w:trPr/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Задачи подпрограммы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Formattext1"/>
              <w:widowControl w:val="false"/>
              <w:spacing w:before="0" w:after="0"/>
              <w:jc w:val="both"/>
              <w:rPr>
                <w:color w:val="000000"/>
                <w:spacing w:val="2"/>
              </w:rPr>
            </w:pPr>
            <w:r>
              <w:rPr>
                <w:rFonts w:ascii="Arial" w:hAnsi="Arial"/>
                <w:color w:val="000000"/>
                <w:spacing w:val="2"/>
              </w:rPr>
              <w:t xml:space="preserve">- </w:t>
            </w:r>
            <w:r>
              <w:rPr>
                <w:color w:val="000000"/>
                <w:spacing w:val="2"/>
              </w:rPr>
              <w:t>создание комфортных и безопасных условий проживания в многоквартирных домах;</w:t>
            </w:r>
            <w:r>
              <w:rPr/>
              <w:br/>
            </w:r>
            <w:r>
              <w:rPr>
                <w:color w:val="000000"/>
                <w:spacing w:val="2"/>
              </w:rPr>
      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  <w:r>
              <w:rPr/>
              <w:br/>
            </w:r>
            <w:r>
              <w:rPr>
                <w:color w:val="000000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  <w:r>
              <w:rPr/>
              <w:br/>
            </w:r>
            <w:r>
              <w:rPr>
                <w:color w:val="000000"/>
                <w:spacing w:val="2"/>
              </w:rPr>
              <w:t xml:space="preserve">- </w:t>
            </w:r>
            <w:r>
              <w:rPr>
                <w:color w:val="000000"/>
                <w:spacing w:val="-2"/>
              </w:rPr>
              <w:t>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      </w:r>
          </w:p>
        </w:tc>
      </w:tr>
      <w:tr>
        <w:trPr/>
        <w:tc>
          <w:tcPr>
            <w:tcW w:w="3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 2021 – 2025 годы:</w:t>
            </w:r>
            <w:r>
              <w:rPr>
                <w:b/>
                <w:color w:val="000000"/>
                <w:sz w:val="24"/>
              </w:rPr>
              <w:t xml:space="preserve"> 1460,0</w:t>
            </w:r>
            <w:r>
              <w:rPr>
                <w:b/>
                <w:color w:val="FB290D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тыс. руб.,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в том числе средства местного бюджета: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sz w:val="24"/>
              </w:rPr>
              <w:t xml:space="preserve">2021 год – </w:t>
            </w:r>
            <w:r>
              <w:rPr>
                <w:b/>
                <w:sz w:val="24"/>
              </w:rPr>
              <w:t>250,0 тыс. руб.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sz w:val="24"/>
              </w:rPr>
              <w:t xml:space="preserve">2022 год – </w:t>
            </w:r>
            <w:r>
              <w:rPr>
                <w:b/>
                <w:sz w:val="24"/>
              </w:rPr>
              <w:t>410,0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2023 год –</w:t>
            </w:r>
            <w:r>
              <w:rPr>
                <w:b/>
                <w:sz w:val="24"/>
              </w:rPr>
              <w:t xml:space="preserve"> 300,0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2024 год</w:t>
            </w:r>
            <w:r>
              <w:rPr>
                <w:b/>
                <w:sz w:val="24"/>
              </w:rPr>
              <w:t xml:space="preserve"> -  250,0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 xml:space="preserve">2025 год – </w:t>
            </w:r>
            <w:r>
              <w:rPr>
                <w:b/>
                <w:color w:val="000000"/>
                <w:sz w:val="24"/>
              </w:rPr>
              <w:t>250,0 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2. Характеристика проблемы, на решение которой направлена подпрограмма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Важнейшими вопросами, решение которых в соответствии с действующим законодательством и муниципальными правовыми актами Ильинского муниципального района на территории Ильинского городского поселения возложено на органы муниципальной власти, являются организация содержания и обслуживания жилищного фонда и участие в финансировании содержания муниципального жилищного фонда. Для создания условий безопасного и комфортного проживания граждан значимость указанных вопросов заключается во влиянии, которое оказывают жилищные условия граждан на общую атмосферу на территории поселения, уровень социальной напряженности.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На территории Ильинского городского поселения расположено 32 многоквартирных дома.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Общая площадь жилищного фонда по состоянию на 01.12.2016 составляет 1193,8 кв.м. Жилищный фонд Ильинского городского поселения имеет срок эксплуатации более 25 лет.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Помимо многолетней эксплуатации жилищного фонда в п.Ильинское-Хованское причинами неудовлетворительного состояния является ненадлежащее содержание жилищного фонда на протяжении ряда лет.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Выполнение отдельных видов работ по капитальному ремонту домов (инженерных систем, крыш) недостаточно для доведения технического состояния жилищного фонда до нормативного уровня. Целесообразней проводить комплексный капитальный ремонт зданий.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 xml:space="preserve">В связи с высокой стоимостью капитального ремонта многоквартирных домов и ограниченной платежеспособностью населения требуется продолжить оказание государственной поддержки с привлечением средств собственников помещений в многоквартирных домах для проведения необходимых работ. 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По-прежнему актуальным являются: улучшение технического состояния жилищного фонда, стабилизация рынка управления многоквартирными домами, развитие общественной инициативы в сфере управления жильем. Немаловажное значение имеет формирование позиции активного собственника жилья, осознающего свою ответственность за состояние жилья и владеющего знаниями, необходимыми для успешной реализации жилищных прав.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Необходимо следующие: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- заключение договоров социального найма жилых помещений муниципального жилищного фонда;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- начисление платы за наем жилых помещений, коммунальные услуги, содержание и ремонт жилого помещения;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- прием, учет, контроль денежных средств за наем жилых помещений, за коммунальные услуги, содержание и ремонт жилых помещений;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 xml:space="preserve">- обработка информации о полученных платежах за коммунальные услуги, содержание и ремонт жилого помещения; 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Для поддержания на должном уровне муниципальных задач, связанных с обслуживанием населения, необходимо ведение и поддержание в актуальном состоянии муниципальной информационной базы данных (ГИС ЖКХ).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 Ильинского городского поселения.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2D2D2D"/>
          <w:spacing w:val="2"/>
          <w:sz w:val="24"/>
        </w:rPr>
      </w:pPr>
      <w:r>
        <w:rPr>
          <w:rFonts w:ascii="Times New Roman" w:hAnsi="Times New Roman"/>
          <w:color w:val="2D2D2D"/>
          <w:spacing w:val="2"/>
          <w:sz w:val="24"/>
        </w:rPr>
      </w: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3. Цели, целевые индикаторы и ожидаемые результаты реализации подпрограммы</w:t>
      </w:r>
    </w:p>
    <w:p>
      <w:pPr>
        <w:pStyle w:val="ConsPlusNormal1"/>
        <w:jc w:val="center"/>
        <w:rPr>
          <w:b/>
          <w:b/>
          <w:spacing w:val="2"/>
          <w:sz w:val="24"/>
        </w:rPr>
      </w:pPr>
      <w:r>
        <w:rPr>
          <w:b/>
          <w:spacing w:val="2"/>
          <w:sz w:val="24"/>
        </w:rPr>
        <w:t>3.1. Цели подпрограммы</w:t>
      </w:r>
    </w:p>
    <w:p>
      <w:pPr>
        <w:pStyle w:val="ConsPlusNormal1"/>
        <w:jc w:val="center"/>
        <w:rPr>
          <w:color w:val="2D2D2D"/>
          <w:spacing w:val="2"/>
        </w:rPr>
      </w:pPr>
      <w:r>
        <w:rPr>
          <w:color w:val="2D2D2D"/>
          <w:spacing w:val="2"/>
        </w:rPr>
      </w:r>
    </w:p>
    <w:p>
      <w:pPr>
        <w:pStyle w:val="Formattext1"/>
        <w:spacing w:before="280" w:after="0"/>
        <w:ind w:left="0" w:right="0" w:firstLine="851"/>
        <w:jc w:val="both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hanging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hanging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numPr>
          <w:ilvl w:val="0"/>
          <w:numId w:val="0"/>
        </w:numPr>
        <w:ind w:left="0" w:right="0" w:hanging="0"/>
        <w:jc w:val="center"/>
        <w:outlineLvl w:val="2"/>
        <w:rPr>
          <w:b/>
          <w:b/>
          <w:sz w:val="24"/>
        </w:rPr>
      </w:pPr>
      <w:r>
        <w:rPr>
          <w:b/>
          <w:sz w:val="24"/>
        </w:rPr>
        <w:t>3.2. Целевые индикаторы и ожидаемые результаты реализации подпрограммы</w:t>
      </w:r>
    </w:p>
    <w:p>
      <w:pPr>
        <w:pStyle w:val="Normal"/>
        <w:spacing w:lineRule="auto" w:line="240" w:before="0" w:after="0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Style w:val="Style_4"/>
        <w:tblW w:w="9328" w:type="dxa"/>
        <w:jc w:val="left"/>
        <w:tblInd w:w="0" w:type="dxa"/>
        <w:tblBorders>
          <w:top w:val="single" w:sz="6" w:space="0" w:color="000001"/>
          <w:left w:val="single" w:sz="6" w:space="0" w:color="000001"/>
          <w:right w:val="single" w:sz="6" w:space="0" w:color="000001"/>
          <w:insideV w:val="single" w:sz="6" w:space="0" w:color="000001"/>
        </w:tblBorders>
        <w:tblCellMar>
          <w:top w:w="0" w:type="dxa"/>
          <w:left w:w="32" w:type="dxa"/>
          <w:bottom w:w="0" w:type="dxa"/>
          <w:right w:w="40" w:type="dxa"/>
        </w:tblCellMar>
      </w:tblPr>
      <w:tblGrid>
        <w:gridCol w:w="2822"/>
        <w:gridCol w:w="821"/>
        <w:gridCol w:w="947"/>
        <w:gridCol w:w="928"/>
        <w:gridCol w:w="960"/>
        <w:gridCol w:w="839"/>
        <w:gridCol w:w="857"/>
        <w:gridCol w:w="1153"/>
      </w:tblGrid>
      <w:tr>
        <w:trPr>
          <w:trHeight w:val="1063" w:hRule="atLeast"/>
        </w:trPr>
        <w:tc>
          <w:tcPr>
            <w:tcW w:w="2822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821" w:type="dxa"/>
            <w:tcBorders>
              <w:top w:val="single" w:sz="6" w:space="0" w:color="000001"/>
              <w:left w:val="single" w:sz="6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Ед. изм.</w:t>
            </w:r>
          </w:p>
        </w:tc>
        <w:tc>
          <w:tcPr>
            <w:tcW w:w="947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Исходный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показатель</w:t>
            </w:r>
          </w:p>
        </w:tc>
        <w:tc>
          <w:tcPr>
            <w:tcW w:w="928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839" w:type="dxa"/>
            <w:tcBorders>
              <w:top w:val="single" w:sz="6" w:space="0" w:color="000001"/>
              <w:left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857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1153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>
        <w:trPr>
          <w:trHeight w:val="1348" w:hRule="exact"/>
        </w:trPr>
        <w:tc>
          <w:tcPr>
            <w:tcW w:w="2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Возмещение разницы между экономически обоснованным тарифом и тарифом, установленным для населения (ремонт и содержание муниципального жилищного фонда)</w:t>
            </w:r>
          </w:p>
        </w:tc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94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5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5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>
        <w:trPr>
          <w:trHeight w:val="678" w:hRule="exact"/>
        </w:trPr>
        <w:tc>
          <w:tcPr>
            <w:tcW w:w="2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Оплата коммунальных услуг пустующих муниципальных квартир</w:t>
            </w:r>
          </w:p>
        </w:tc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94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5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5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val="1189" w:hRule="exact"/>
        </w:trPr>
        <w:tc>
          <w:tcPr>
            <w:tcW w:w="2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Оплата займа по переводу на индивидуальное газовое отопление муниципального жилищного фонда в п. Ильинское-Хованское</w:t>
            </w:r>
          </w:p>
        </w:tc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94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rPr>
          <w:trHeight w:val="1123" w:hRule="exact"/>
        </w:trPr>
        <w:tc>
          <w:tcPr>
            <w:tcW w:w="2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94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9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5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15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</w:tr>
      <w:tr>
        <w:trPr>
          <w:trHeight w:val="823" w:hRule="exact"/>
        </w:trPr>
        <w:tc>
          <w:tcPr>
            <w:tcW w:w="2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содержание муниципального жилищного фонда</w:t>
            </w:r>
          </w:p>
        </w:tc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квартир</w:t>
            </w:r>
          </w:p>
        </w:tc>
        <w:tc>
          <w:tcPr>
            <w:tcW w:w="94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9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5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15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</w:tr>
    </w:tbl>
    <w:p>
      <w:pPr>
        <w:pStyle w:val="Normal"/>
        <w:spacing w:lineRule="auto" w:line="240" w:before="0" w:after="0"/>
        <w:rPr>
          <w:sz w:val="2"/>
        </w:rPr>
      </w:pPr>
      <w:r>
        <w:rPr>
          <w:sz w:val="2"/>
        </w:rPr>
      </w:r>
    </w:p>
    <w:p>
      <w:pPr>
        <w:pStyle w:val="Formattext1"/>
        <w:spacing w:before="280" w:after="0"/>
        <w:jc w:val="center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1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</w:rPr>
      </w:pPr>
      <w:r>
        <w:rPr>
          <w:spacing w:val="2"/>
        </w:rPr>
        <w:t>Для достижения поставленных целей подпрограммы необходимо решение следующихз задач:</w:t>
      </w:r>
    </w:p>
    <w:p>
      <w:pPr>
        <w:pStyle w:val="Formattext1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</w:rPr>
      </w:pPr>
      <w:r>
        <w:rPr>
          <w:color w:val="000000"/>
          <w:spacing w:val="2"/>
        </w:rPr>
        <w:t xml:space="preserve">создание комфортных и безопасных условий проживания в </w:t>
      </w:r>
      <w:r>
        <w:rPr>
          <w:color w:val="000000"/>
          <w:sz w:val="24"/>
        </w:rPr>
        <w:t>многоквартирных домах.</w:t>
      </w:r>
    </w:p>
    <w:p>
      <w:pPr>
        <w:pStyle w:val="Formattext1"/>
        <w:spacing w:lineRule="auto" w:line="240" w:before="0" w:after="0"/>
        <w:ind w:left="0" w:right="0" w:firstLine="851"/>
        <w:jc w:val="center"/>
        <w:rPr>
          <w:rFonts w:ascii="Times New Roman" w:hAnsi="Times New Roman"/>
          <w:color w:val="000000"/>
          <w:sz w:val="24"/>
        </w:rPr>
      </w:pPr>
      <w:r>
        <w:rPr>
          <w:color w:val="000000"/>
          <w:spacing w:val="2"/>
        </w:rPr>
        <w:t>Задачами программы являются: 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Times New Roman" w:hAnsi="Times New Roman"/>
          <w:color w:val="000000"/>
          <w:sz w:val="24"/>
        </w:rPr>
      </w:pPr>
      <w:r>
        <w:rPr>
          <w:color w:val="000000"/>
          <w:sz w:val="24"/>
        </w:rPr>
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z w:val="24"/>
        </w:rPr>
        <w:t> </w:t>
      </w:r>
      <w:r>
        <w:rPr>
          <w:color w:val="000000"/>
          <w:sz w:val="24"/>
        </w:rPr>
        <w:t>- обеспечение вы</w:t>
      </w:r>
      <w:r>
        <w:rPr>
          <w:color w:val="000000"/>
          <w:spacing w:val="2"/>
        </w:rPr>
        <w:t>полнения работ по капитальному ремонту общего имущества многоквартирных домов;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pacing w:val="2"/>
        </w:rPr>
        <w:t> </w:t>
      </w:r>
      <w:r>
        <w:rPr>
          <w:color w:val="000000"/>
          <w:spacing w:val="2"/>
        </w:rPr>
        <w:t>- оперативное реагирование на аварийные ситуации в сфере ЖКХ. Обеспечение комфортных и безопасных условий проживания;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pacing w:val="2"/>
        </w:rPr>
        <w:t xml:space="preserve"> </w:t>
      </w:r>
      <w:r>
        <w:rPr>
          <w:color w:val="000000"/>
          <w:spacing w:val="2"/>
        </w:rPr>
        <w:t>- содержание дома в надлежащем порядке, проведение своевременного и качественного ремонта общего имущества. 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pacing w:val="2"/>
        </w:rPr>
        <w:tab/>
        <w:t>Реализация программы позволит снизить физический износ зданий, обеспечить сохранность и надлежащее содержание общего имущества многоквартирных домов в соответствии с санитарными и техническими правилами и нормами, снизить риск возникновения аварийных ситуаций и расходы собственников помещений. Надежность работы инженерно-технических систем позволит сэкономить средства собственников жилых помещений по оплате коммунальных услуг. 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pacing w:val="2"/>
        </w:rPr>
        <w:tab/>
        <w:t>При выполнении намеченных мероприятий предполагается достичь: </w:t>
      </w:r>
    </w:p>
    <w:p>
      <w:p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pacing w:val="2"/>
        </w:rPr>
        <w:t>- улучшение состояния жилищного фонда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Formattext1"/>
        <w:spacing w:lineRule="auto" w:line="240" w:before="0" w:after="0"/>
        <w:ind w:left="0" w:right="0" w:firstLine="850"/>
        <w:jc w:val="both"/>
        <w:rPr>
          <w:rFonts w:ascii="Arial" w:hAnsi="Arial"/>
          <w:color w:val="2D2D2D"/>
          <w:spacing w:val="2"/>
          <w:sz w:val="18"/>
        </w:rPr>
      </w:pPr>
      <w:r>
        <w:rPr>
          <w:color w:val="000000"/>
          <w:spacing w:val="2"/>
        </w:rPr>
        <w:t>- повышение комфортности проживания граждан в жилищном фонде.</w:t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Перечень мероприятий подпрограммы</w:t>
      </w:r>
    </w:p>
    <w:p>
      <w:pPr>
        <w:pStyle w:val="Normal"/>
        <w:tabs>
          <w:tab w:val="left" w:pos="0" w:leader="none"/>
        </w:tabs>
        <w:spacing w:lineRule="auto" w:line="240" w:before="0" w:after="0"/>
        <w:ind w:left="36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tabs>
          <w:tab w:val="left" w:pos="0" w:leader="none"/>
        </w:tabs>
        <w:spacing w:lineRule="auto" w:line="240" w:before="0" w:after="0"/>
        <w:ind w:left="360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14708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32"/>
        <w:gridCol w:w="4679"/>
        <w:gridCol w:w="1841"/>
        <w:gridCol w:w="2268"/>
        <w:gridCol w:w="2411"/>
        <w:gridCol w:w="2976"/>
      </w:tblGrid>
      <w:tr>
        <w:trPr>
          <w:trHeight w:val="848" w:hRule="atLeast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(годы)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финансирования,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тыс. руб.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Ответственные исполнители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Ожидаемые результаты</w:t>
            </w:r>
          </w:p>
        </w:tc>
      </w:tr>
      <w:tr>
        <w:trPr>
          <w:trHeight w:val="60" w:hRule="atLeast"/>
        </w:trPr>
        <w:tc>
          <w:tcPr>
            <w:tcW w:w="1470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Раздел: «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z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410,0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6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г.</w:t>
            </w:r>
          </w:p>
        </w:tc>
        <w:tc>
          <w:tcPr>
            <w:tcW w:w="22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</w:t>
            </w:r>
          </w:p>
        </w:tc>
        <w:tc>
          <w:tcPr>
            <w:tcW w:w="24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8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</w:tc>
        <w:tc>
          <w:tcPr>
            <w:tcW w:w="22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250,0</w:t>
            </w:r>
          </w:p>
        </w:tc>
        <w:tc>
          <w:tcPr>
            <w:tcW w:w="24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 г.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highlight w:val="white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 по подпрограмме: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2021-2025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1460,0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5. Ресурсное обеспечение подпрограммы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Style w:val="Style_4"/>
        <w:tblW w:w="9493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806"/>
        <w:gridCol w:w="1523"/>
        <w:gridCol w:w="1590"/>
        <w:gridCol w:w="1575"/>
        <w:gridCol w:w="1455"/>
        <w:gridCol w:w="1543"/>
      </w:tblGrid>
      <w:tr>
        <w:trPr>
          <w:trHeight w:val="478" w:hRule="atLeast"/>
        </w:trPr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финансирования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 источники</w:t>
            </w:r>
          </w:p>
        </w:tc>
        <w:tc>
          <w:tcPr>
            <w:tcW w:w="1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</w:tr>
      <w:tr>
        <w:trPr/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250,0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410,0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300,0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250,0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250,0</w:t>
            </w:r>
          </w:p>
        </w:tc>
      </w:tr>
      <w:tr>
        <w:trPr/>
        <w:tc>
          <w:tcPr>
            <w:tcW w:w="949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«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z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</w:tc>
      </w:tr>
      <w:tr>
        <w:trPr>
          <w:trHeight w:val="605" w:hRule="atLeast"/>
        </w:trPr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410,0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300,0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250,0</w:t>
            </w:r>
          </w:p>
        </w:tc>
      </w:tr>
      <w:tr>
        <w:trPr>
          <w:trHeight w:val="617" w:hRule="atLeast"/>
        </w:trPr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sz w:val="24"/>
        </w:rPr>
      </w:pPr>
      <w:r>
        <w:rPr>
          <w:sz w:val="24"/>
        </w:rPr>
      </w:r>
      <w:r>
        <w:br w:type="page"/>
      </w:r>
    </w:p>
    <w:p>
      <w:pPr>
        <w:pStyle w:val="Normal"/>
        <w:spacing w:lineRule="auto" w:line="240" w:before="0" w:after="0"/>
        <w:ind w:left="5670" w:right="0" w:hanging="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2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к  Муниципальной программе «Обеспечение населения объектами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инженерной инфраструктуры и услугами жилищно-коммунального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хозяйства Ильинского городского поселения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ПОДПРОГРАММА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подпрограммы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  <w:r>
        <w:rPr>
          <w:rFonts w:ascii="Times New Roman" w:hAnsi="Times New Roman"/>
          <w:b/>
          <w:sz w:val="24"/>
        </w:rPr>
        <w:t>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272"/>
        <w:gridCol w:w="6224"/>
      </w:tblGrid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pacing w:val="2"/>
                <w:sz w:val="24"/>
              </w:rPr>
      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вод»</w:t>
            </w:r>
          </w:p>
        </w:tc>
      </w:tr>
      <w:tr>
        <w:trPr>
          <w:trHeight w:val="120" w:hRule="atLeast"/>
        </w:trPr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– 2025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Администратор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«ЖКХ (Ильинское)»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Tekstob1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улучшение обеспечения качественной питьевой водой и подача ее населению Ильинского городского поселения;</w:t>
            </w:r>
          </w:p>
          <w:p>
            <w:pPr>
              <w:pStyle w:val="Tekstob1"/>
              <w:widowControl w:val="false"/>
              <w:spacing w:before="28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поселения.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Целевые индикаторы и ожидаемые результаты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2"/>
                <w:sz w:val="24"/>
              </w:rPr>
              <w:t>доля уличной водопроводной сети, нуждающейся в замене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6"/>
                <w:sz w:val="24"/>
              </w:rPr>
              <w:t>доля уличной канализационной сети, нуждающейся в замене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число аварий в системах водоснабжения водоотведения и очистки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объем сточных вод, пропущенных через очистные сооружения, в общем объеме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Задачи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Formattext1"/>
              <w:widowControl w:val="false"/>
              <w:spacing w:before="0" w:after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- </w:t>
            </w:r>
            <w:r>
              <w:rPr>
                <w:spacing w:val="-4"/>
              </w:rPr>
              <w:t>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</w:t>
            </w:r>
            <w:r>
              <w:rPr>
                <w:spacing w:val="2"/>
              </w:rPr>
              <w:t>;</w:t>
            </w:r>
          </w:p>
          <w:p>
            <w:pPr>
              <w:pStyle w:val="Formattext1"/>
              <w:widowControl w:val="false"/>
              <w:spacing w:before="280" w:after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- </w:t>
            </w:r>
            <w:r>
              <w:rPr>
                <w:spacing w:val="-2"/>
              </w:rPr>
              <w:t>развитие и совершенствование систем централизованного хозяйственно-питьевого водоснабжения и водоотведения</w:t>
            </w:r>
            <w:r>
              <w:rPr>
                <w:spacing w:val="2"/>
              </w:rPr>
              <w:t>;</w:t>
            </w:r>
          </w:p>
          <w:p>
            <w:pPr>
              <w:pStyle w:val="Formattext1"/>
              <w:widowControl w:val="false"/>
              <w:spacing w:before="280" w:after="0"/>
              <w:jc w:val="both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1"/>
              <w:widowControl w:val="false"/>
              <w:spacing w:before="280" w:after="0"/>
              <w:jc w:val="both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1"/>
              <w:widowControl w:val="false"/>
              <w:spacing w:before="280" w:after="0"/>
              <w:jc w:val="both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 2021 – 2025 годы: 3847,8 тыс. руб.,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в том числе средства: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2021 год – 700,0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2022 год – 1226,0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2023 год – 640,6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2024 год — 640,6 тыс.руб.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2025 год – 640,6 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>2. Характеристика проблемы, на решение которой направлена подпрограмма</w:t>
      </w:r>
    </w:p>
    <w:p>
      <w:pPr>
        <w:pStyle w:val="Tekstob1"/>
        <w:spacing w:before="280" w:after="0"/>
        <w:jc w:val="both"/>
        <w:rPr>
          <w:sz w:val="16"/>
        </w:rPr>
      </w:pPr>
      <w:r>
        <w:rPr>
          <w:sz w:val="16"/>
        </w:rPr>
      </w:r>
    </w:p>
    <w:p>
      <w:pPr>
        <w:pStyle w:val="Tekstob1"/>
        <w:spacing w:before="280" w:after="0"/>
        <w:ind w:left="0" w:right="0" w:firstLine="851"/>
        <w:jc w:val="both"/>
        <w:rPr>
          <w:spacing w:val="6"/>
        </w:rPr>
      </w:pPr>
      <w:r>
        <w:rPr>
          <w:spacing w:val="6"/>
        </w:rPr>
        <w:t>В Ильинском городском поселении одним из актуальнейших и проблемных вопросов остается вопрос обеспечения населения Ильинского городского поселения качественной питьевой водой и бесперебойной работы системы водоснабжения.</w:t>
      </w:r>
    </w:p>
    <w:p>
      <w:pPr>
        <w:pStyle w:val="Tekstob1"/>
        <w:spacing w:before="280" w:after="0"/>
        <w:ind w:left="0" w:right="0" w:firstLine="851"/>
        <w:jc w:val="both"/>
        <w:rPr>
          <w:rFonts w:ascii="Tahoma" w:hAnsi="Tahoma"/>
          <w:color w:val="000000"/>
          <w:spacing w:val="6"/>
        </w:rPr>
      </w:pPr>
      <w:r>
        <w:rPr>
          <w:color w:val="000000"/>
          <w:spacing w:val="6"/>
        </w:rPr>
        <w:t>Величина общего водоотбора подземных вод по поселению составляет 169 куб. м/сут.,из них на нужды населения 143 куб м/сут, здравоохранения 2,9 куб.м/сут., среднесуточное потребление питьевой воды на 1 человека по п. Ильинское-Хованское составляет 72,3 л.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На сегодняшний день на территории Ильинского городского поселения имеется 8 артезианских скважин, год ввода в эксплуатацию части из них насчитывает более 36 лет, внутрипоселковые разводящиеводопроводные сети составляют около 20 км, ветхие водопроводы составляют около 14 км.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В 2016 году был произведен капитальный ремонт артезианских скважин №1 ул. Красная, №2 ул. Школьная.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В 2017 году произведены работы по замене участков водопровода по  ул. Красной и ул. Гагарина в п. Ильинское-Хованское.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В 2018 году заменен участок водопровода по ул. Советская (район бывшей Сельхозтехники) в п. Ильинское-Хованское.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В 2020 году заменен участок водопровода по пер. Окружной в п. Ильинское-Хованское, проложен участок водопровода к ул. 8 Марта в п. Ильинское-Хованское (с перспективой подключения скважины ЗАО «Ильинское», обеспечивающей водопроводной водой жителей ул. 8 Марта, к уличной сети).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 xml:space="preserve">Ильинское городское поселение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pacing w:val="6"/>
          <w:sz w:val="24"/>
        </w:rPr>
      </w:pPr>
      <w:r>
        <w:rPr>
          <w:rFonts w:ascii="Times New Roman" w:hAnsi="Times New Roman"/>
          <w:color w:val="000000"/>
          <w:spacing w:val="6"/>
          <w:sz w:val="24"/>
        </w:rPr>
        <w:t>В результате длительной эксплуатации вышеуказанных объектов и сложного финансового положения за последние 35 лет не производился капитально - восстановительный ремонт основных средств: зданий, сооружений, технологического оборудования и магистральных сетей. Не выделялись средства на реконструкцию и строительство сооружений по очистке и улучшению качества питьевой воды.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</w:t>
      </w:r>
      <w:r>
        <w:rPr>
          <w:rFonts w:ascii="Times New Roman" w:hAnsi="Times New Roman"/>
          <w:color w:val="000000"/>
          <w:spacing w:val="6"/>
          <w:sz w:val="24"/>
        </w:rPr>
        <w:t>в настоящее время составил более</w:t>
      </w:r>
      <w:r>
        <w:rPr>
          <w:rFonts w:ascii="Times New Roman" w:hAnsi="Times New Roman"/>
          <w:spacing w:val="6"/>
          <w:sz w:val="24"/>
        </w:rPr>
        <w:t xml:space="preserve">92%. Следует отметить, что напорные трубы скважин, обеспечивающих подъем и подачу воды в водопроводные сети, на сегодняшний день требуют 100% замены. 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Также в результате расширения сети потребителей воды возникает необходимость бурения дополнительных скважин и корректировки распределения подачи воды с целью выравнивания давления в сети.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Протяженность сетей водоотведения Ильинского городского поселения на сегодняшний день составляет 9 км, находящихся в хозяйственном ведении муниципального унитарного предприятия «ЖКХ (Ильинское)". Общий износ сетей водоотведения – 80%, ветхие канализационные сети составляют 6,3 км.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pacing w:val="6"/>
          <w:sz w:val="24"/>
        </w:rPr>
      </w:pPr>
      <w:r>
        <w:rPr>
          <w:rFonts w:ascii="Times New Roman" w:hAnsi="Times New Roman"/>
          <w:color w:val="000000"/>
          <w:spacing w:val="6"/>
          <w:sz w:val="24"/>
          <w:highlight w:val="white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spacing w:val="6"/>
          <w:sz w:val="24"/>
        </w:rPr>
      </w:pPr>
      <w:r>
        <w:rPr>
          <w:rFonts w:ascii="Times New Roman" w:hAnsi="Times New Roman"/>
          <w:spacing w:val="6"/>
          <w:sz w:val="24"/>
        </w:rPr>
        <w:t>Данная подпрограмма направлена на повышение надежности и качества водообеспечения населения, объектов соц. культ быта, предприятий и организаций Ильинского городского поселения и его реализация требует дополнительного целевого финансового обеспечения.</w:t>
      </w:r>
    </w:p>
    <w:p>
      <w:pPr>
        <w:pStyle w:val="Normal"/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pacing w:val="6"/>
          <w:sz w:val="24"/>
        </w:rPr>
      </w:pPr>
      <w:r>
        <w:rPr>
          <w:rFonts w:ascii="Times New Roman" w:hAnsi="Times New Roman"/>
          <w:color w:val="000000"/>
          <w:spacing w:val="6"/>
          <w:sz w:val="24"/>
        </w:rPr>
        <w:t>Важнейшим фактором, определяющим необходимость разработки и реализации подпрограммы в Ильинском городском поселении с учетом приоритетных направлений социальных и экономических реформ, является социальная значимость данной проблемы в части повышения качества жизни и сохранения здоровья граждан.</w:t>
      </w:r>
      <w:r>
        <w:br w:type="page"/>
      </w: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3. Цели, целевые индикаторы и ожидаемые результаты реализации подпрограммы</w:t>
      </w:r>
    </w:p>
    <w:p>
      <w:pPr>
        <w:pStyle w:val="ConsPlusNormal1"/>
        <w:jc w:val="center"/>
        <w:rPr>
          <w:b/>
          <w:b/>
          <w:spacing w:val="2"/>
          <w:sz w:val="24"/>
        </w:rPr>
      </w:pPr>
      <w:r>
        <w:rPr>
          <w:b/>
          <w:spacing w:val="2"/>
          <w:sz w:val="24"/>
        </w:rPr>
        <w:t>3.1. Цели подпрограммы</w:t>
      </w:r>
    </w:p>
    <w:p>
      <w:pPr>
        <w:pStyle w:val="Formattext1"/>
        <w:spacing w:before="280" w:after="0"/>
        <w:jc w:val="center"/>
        <w:rPr>
          <w:b/>
          <w:b/>
          <w:color w:val="2D2D2D"/>
          <w:spacing w:val="2"/>
        </w:rPr>
      </w:pPr>
      <w:r>
        <w:rPr>
          <w:b/>
          <w:color w:val="2D2D2D"/>
          <w:spacing w:val="2"/>
        </w:rPr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городского поселения;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numPr>
          <w:ilvl w:val="0"/>
          <w:numId w:val="0"/>
        </w:numPr>
        <w:ind w:left="0" w:right="0" w:hanging="0"/>
        <w:jc w:val="center"/>
        <w:outlineLvl w:val="2"/>
        <w:rPr>
          <w:b/>
          <w:b/>
          <w:sz w:val="24"/>
        </w:rPr>
      </w:pPr>
      <w:r>
        <w:rPr>
          <w:b/>
          <w:sz w:val="24"/>
        </w:rPr>
        <w:t>3.2. Целевые индикаторы и ожидаемые результаты реализации подпрограммы</w:t>
      </w:r>
    </w:p>
    <w:p>
      <w:pPr>
        <w:pStyle w:val="Normal"/>
        <w:spacing w:lineRule="auto" w:line="240" w:before="0" w:after="0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Style w:val="Style_4"/>
        <w:tblW w:w="9497" w:type="dxa"/>
        <w:jc w:val="left"/>
        <w:tblInd w:w="0" w:type="dxa"/>
        <w:tblBorders>
          <w:top w:val="single" w:sz="6" w:space="0" w:color="000001"/>
          <w:left w:val="single" w:sz="6" w:space="0" w:color="000001"/>
          <w:right w:val="single" w:sz="6" w:space="0" w:color="000001"/>
          <w:insideV w:val="single" w:sz="6" w:space="0" w:color="000001"/>
        </w:tblBorders>
        <w:tblCellMar>
          <w:top w:w="0" w:type="dxa"/>
          <w:left w:w="32" w:type="dxa"/>
          <w:bottom w:w="0" w:type="dxa"/>
          <w:right w:w="40" w:type="dxa"/>
        </w:tblCellMar>
      </w:tblPr>
      <w:tblGrid>
        <w:gridCol w:w="3171"/>
        <w:gridCol w:w="705"/>
        <w:gridCol w:w="1041"/>
        <w:gridCol w:w="884"/>
        <w:gridCol w:w="977"/>
        <w:gridCol w:w="874"/>
        <w:gridCol w:w="917"/>
        <w:gridCol w:w="926"/>
      </w:tblGrid>
      <w:tr>
        <w:trPr>
          <w:trHeight w:val="1063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Ед. изм.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Исходный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показатель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>
        <w:trPr>
          <w:trHeight w:val="1145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28,6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</w:tr>
      <w:tr>
        <w:trPr>
          <w:trHeight w:val="552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Доля уличной водопроводной сети, нуждающейся в замене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</w:t>
            </w:r>
          </w:p>
        </w:tc>
      </w:tr>
      <w:tr>
        <w:trPr>
          <w:trHeight w:val="494" w:hRule="atLeas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Доля уличной канализационной сети, нуждающейся в замене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</w:tr>
      <w:tr>
        <w:trPr>
          <w:trHeight w:val="64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</w:t>
            </w:r>
          </w:p>
        </w:tc>
      </w:tr>
      <w:tr>
        <w:trPr>
          <w:trHeight w:val="76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</w:tr>
      <w:tr>
        <w:trPr>
          <w:trHeight w:val="699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централизованными услугами водообеспечения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62,3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</w:tr>
      <w:tr>
        <w:trPr>
          <w:trHeight w:val="695" w:hRule="exact"/>
        </w:trPr>
        <w:tc>
          <w:tcPr>
            <w:tcW w:w="31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04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88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97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92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</w:tr>
    </w:tbl>
    <w:p>
      <w:pPr>
        <w:pStyle w:val="Normal"/>
        <w:spacing w:lineRule="auto" w:line="240" w:before="0" w:after="0"/>
        <w:rPr>
          <w:sz w:val="2"/>
        </w:rPr>
      </w:pPr>
      <w:r>
        <w:rPr>
          <w:sz w:val="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Formattext1"/>
        <w:spacing w:before="280" w:after="0"/>
        <w:ind w:left="0" w:right="0" w:firstLine="851"/>
        <w:jc w:val="both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Реализация мероприятий подпрограммы позволит: 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экологическую безопасность и комфортность проживания граждан.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444444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  <w:highlight w:val="white"/>
        </w:rPr>
        <w:t>снизить уровень потерь питьевой воды;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В результате реализации подпрограммы к 2023 году доля сельских населенных пунктов, обеспеченных централизованными системами водоснабжения, будет увеличена, среднесуточное водопотребление на 1 человека в сельских населенных пунктах – до 95 л.</w:t>
      </w:r>
    </w:p>
    <w:p>
      <w:pPr>
        <w:pStyle w:val="Normal"/>
        <w:tabs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Normal"/>
        <w:tabs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Экологическая эффективность мероприятий подпрограммы выражена в реализации права населения на здоровую окружающую среду, обеспечении экологической безопасности населения, улучшении качества питьевой воды, сокращении поступления загрязняющих веществ в акватории водоемов, повышении уровня экологической культуры.</w:t>
      </w:r>
    </w:p>
    <w:p>
      <w:pPr>
        <w:pStyle w:val="Formattext1"/>
        <w:spacing w:before="280" w:after="0"/>
        <w:jc w:val="center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 и водоотведения;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Formattext1"/>
        <w:spacing w:before="280" w:after="0"/>
        <w:ind w:left="0" w:right="0" w:firstLine="567"/>
        <w:jc w:val="both"/>
        <w:rPr>
          <w:spacing w:val="2"/>
        </w:rPr>
      </w:pPr>
      <w:r>
        <w:rPr>
          <w:spacing w:val="2"/>
        </w:rPr>
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</w:r>
    </w:p>
    <w:p>
      <w:pPr>
        <w:pStyle w:val="Normal"/>
        <w:tabs>
          <w:tab w:val="left" w:pos="0" w:leader="none"/>
        </w:tabs>
        <w:spacing w:lineRule="auto" w:line="240" w:before="0" w:after="0"/>
        <w:ind w:left="36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Перечень мероприятий подпрограммы </w:t>
      </w:r>
    </w:p>
    <w:p>
      <w:pPr>
        <w:pStyle w:val="Normal"/>
        <w:tabs>
          <w:tab w:val="left" w:pos="0" w:leader="none"/>
        </w:tabs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tbl>
      <w:tblPr>
        <w:tblStyle w:val="Style_4"/>
        <w:tblW w:w="14708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32"/>
        <w:gridCol w:w="4111"/>
        <w:gridCol w:w="1560"/>
        <w:gridCol w:w="1559"/>
        <w:gridCol w:w="3261"/>
        <w:gridCol w:w="3684"/>
      </w:tblGrid>
      <w:tr>
        <w:trPr>
          <w:trHeight w:val="564" w:hRule="atLeast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(годы)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финансирования, тыс. руб.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Ответственные исполнители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Ожидаемые результаты</w:t>
            </w:r>
          </w:p>
        </w:tc>
      </w:tr>
      <w:tr>
        <w:trPr>
          <w:trHeight w:val="483" w:hRule="atLeast"/>
        </w:trPr>
        <w:tc>
          <w:tcPr>
            <w:tcW w:w="1470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Раздел: «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Создание условий для обеспечения населения Ильинского городского поселения услугами холодного водоснабжения, водоотведения и очистке сточных вод </w:t>
            </w:r>
            <w:r>
              <w:rPr>
                <w:rFonts w:ascii="Times New Roman" w:hAnsi="Times New Roman"/>
                <w:b/>
                <w:i/>
                <w:sz w:val="24"/>
              </w:rPr>
              <w:t>на 2021 – 2025 годы»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Аварийно-восстановительные работы на водопроводных сетях и арте-зианских скважинах Ильинского г/п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материалов и запасных частей, для создания аварийного запаса на случай ликвидации чрезвычайных ситуаций.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ограждения зон санитарной охраны 1-го пояса на артезианских скважинах 1/5, 2, 4/4, 10/-, 5/3, 9/5, 12/3.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павильонов артезианских скважин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водопроводных колодцев, замена, установка люков и обечаек (4 шт.)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Аварийно-восстановительные работы на водопроводных сетях и арте-зианских скважинах п. Ильинское - Хованское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235,0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Аварийно-восстановительные работы на водопроводных сетях и арте-зианских скважинах с. Гари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176,0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180,0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материалов и запасных частей, для создания аварийного запаса на случай ликвидации чрезвычайных ситуаций п. Ильинское - Хованское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400,0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материалов и запасных частей, для создания аварийного запаса на случай ликвидации чрезвычайных ситуаций с. Гари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85,0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ограждения зон санитарной охраны 1-го пояса на артезианских скважине №2/6, 4/4, 5/5(с.Гари)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1226,0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Аварийно-восстановительные работы на водопроводных сетях и арте-зианских скважинах п. Ильинское - Хованское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Аварийно-восстановительные работы на водопроводных сетях и арте-зианских скважинах с. Гари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материалов и запасных частей, для создания аварийного запаса на случай ликвидации чрезвычайных ситуаций п. Ильинское - Хованское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материалов и запасных частей, для создания аварийного запаса на случай ликвидации чрезвычайных ситуаций с. Гари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10,6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ограждения зон санитарной охраны 1-го пояса на артезианских скважинах 4/4, 5/5 (с.Гари),5/6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640,6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>
          <w:trHeight w:val="1916" w:hRule="atLeast"/>
        </w:trPr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г.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640,6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питьевой воды</w:t>
            </w:r>
          </w:p>
        </w:tc>
      </w:tr>
      <w:tr>
        <w:trPr>
          <w:trHeight w:val="429" w:hRule="atLeast"/>
        </w:trPr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 год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640,6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640,6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1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 год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640,6</w:t>
            </w:r>
          </w:p>
        </w:tc>
        <w:tc>
          <w:tcPr>
            <w:tcW w:w="32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6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highlight w:val="white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 по подпрограмме: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2021-2025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3847,8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3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highlight w:val="white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5. Ресурсное обеспечение подпрограммы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Style w:val="Style_4"/>
        <w:tblW w:w="949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2171"/>
        <w:gridCol w:w="1472"/>
        <w:gridCol w:w="1434"/>
        <w:gridCol w:w="1470"/>
        <w:gridCol w:w="1484"/>
        <w:gridCol w:w="1465"/>
      </w:tblGrid>
      <w:tr>
        <w:trPr>
          <w:trHeight w:val="478" w:hRule="atLeast"/>
        </w:trPr>
        <w:tc>
          <w:tcPr>
            <w:tcW w:w="2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финансирования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 источники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</w:tr>
      <w:tr>
        <w:trPr/>
        <w:tc>
          <w:tcPr>
            <w:tcW w:w="2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700,0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1226,0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640,6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640,6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640,6</w:t>
            </w:r>
          </w:p>
        </w:tc>
      </w:tr>
      <w:tr>
        <w:trPr/>
        <w:tc>
          <w:tcPr>
            <w:tcW w:w="949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Создание условий для более эффективной работы 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холодного водоснабжения, водоотведения и очистке сточных вод</w:t>
            </w:r>
          </w:p>
        </w:tc>
      </w:tr>
      <w:tr>
        <w:trPr/>
        <w:tc>
          <w:tcPr>
            <w:tcW w:w="2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700,0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1226,0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640,6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640,6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640,6</w:t>
            </w:r>
          </w:p>
        </w:tc>
      </w:tr>
      <w:tr>
        <w:trPr/>
        <w:tc>
          <w:tcPr>
            <w:tcW w:w="2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16"/>
        </w:rPr>
      </w:pPr>
      <w:r>
        <w:br w:type="page"/>
      </w:r>
      <w:r>
        <w:rPr>
          <w:rFonts w:ascii="Times New Roman" w:hAnsi="Times New Roman"/>
          <w:sz w:val="16"/>
        </w:rPr>
        <w:t>Приложение 3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к  Муниципальной программе «Обеспечение населения объектами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инженерной инфраструктуры и услугами жилищно-коммунального</w:t>
      </w:r>
    </w:p>
    <w:p>
      <w:pPr>
        <w:pStyle w:val="Normal"/>
        <w:spacing w:lineRule="auto" w:line="240" w:before="0" w:after="0"/>
        <w:ind w:left="0" w:right="0" w:firstLine="4820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хозяйства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ПОДПРОГРАММА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 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Паспорт подпрограммы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2"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pacing w:val="2"/>
          <w:sz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Style w:val="Style_4"/>
        <w:tblW w:w="949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272"/>
        <w:gridCol w:w="6224"/>
      </w:tblGrid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мероприятий по организации в границах Ильинского городского поселения электро, тепло, газо, водоснабжения населения и водоотведения</w:t>
            </w:r>
            <w:r>
              <w:rPr>
                <w:rFonts w:ascii="Times New Roman" w:hAnsi="Times New Roman"/>
                <w:spacing w:val="2"/>
                <w:sz w:val="24"/>
              </w:rPr>
              <w:t>»</w:t>
            </w:r>
          </w:p>
        </w:tc>
      </w:tr>
      <w:tr>
        <w:trPr>
          <w:trHeight w:val="120" w:hRule="atLeast"/>
        </w:trPr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Срок реализации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– 2025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Администратор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«ЖКХ (Ильинское)»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Tekstob1"/>
              <w:widowControl w:val="false"/>
              <w:spacing w:before="0" w:after="0"/>
              <w:rPr>
                <w:sz w:val="12"/>
              </w:rPr>
            </w:pPr>
            <w:r>
              <w:rPr/>
              <w:t>- улучшение обеспечения качественной питьевой водой и подача ее населению Ильинского городского поселения;</w:t>
            </w:r>
          </w:p>
          <w:p>
            <w:pPr>
              <w:pStyle w:val="Formattext1"/>
              <w:widowControl w:val="false"/>
              <w:spacing w:before="280" w:after="0"/>
              <w:rPr>
                <w:spacing w:val="2"/>
              </w:rPr>
            </w:pPr>
            <w:r>
              <w:rPr>
                <w:spacing w:val="2"/>
              </w:rPr>
              <w:t>- восстановление, охрана и рациональное использование источников питьевого водоснабжения.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Целевые индикаторы и ожидаемые результаты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число аварий в системах водоснабжения;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обеспеченность населения централизованными услугами водообеспечения;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Задачи подпрограммы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Formattext1"/>
              <w:widowControl w:val="false"/>
              <w:spacing w:before="0" w:after="0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1"/>
              <w:widowControl w:val="false"/>
              <w:spacing w:before="0" w:after="0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водоснабжения;</w:t>
            </w:r>
          </w:p>
          <w:p>
            <w:pPr>
              <w:pStyle w:val="Formattext1"/>
              <w:widowControl w:val="false"/>
              <w:spacing w:before="0" w:after="0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водообеспечения.</w:t>
            </w:r>
          </w:p>
        </w:tc>
      </w:tr>
      <w:tr>
        <w:trPr/>
        <w:tc>
          <w:tcPr>
            <w:tcW w:w="3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w="62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Общая сумма расходов на реализацию подпрограммы</w:t>
            </w:r>
          </w:p>
          <w:p>
            <w:pPr>
              <w:pStyle w:val="ConsPlusNormal1"/>
              <w:widowControl w:val="false"/>
              <w:jc w:val="bot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на 2021 – 2025 годы: </w:t>
            </w:r>
            <w:r>
              <w:rPr>
                <w:b/>
                <w:color w:val="000000"/>
                <w:sz w:val="24"/>
              </w:rPr>
              <w:t xml:space="preserve">1141,6 </w:t>
            </w:r>
            <w:r>
              <w:rPr>
                <w:b/>
                <w:sz w:val="24"/>
              </w:rPr>
              <w:t>тыс. руб.,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в том числе средства местного бюджета: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2021 год – 100,0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2022 год – 266,0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2023 год – 200,0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2024 год — 287,8 тыс. руб.</w:t>
            </w:r>
          </w:p>
          <w:p>
            <w:pPr>
              <w:pStyle w:val="ConsPlusNormal1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2025 год  –  287,8тыс.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t xml:space="preserve">2. Характеристика проблемы, на решение которой направлена подпрограмма 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ab/>
        <w:t>На сегодняшний день на территории Ильинского городского поселения имеется 8 артезианских скважин, год ввода в эксплуатацию части из них насчитывает более 36 лет, в результате длительной эксплуатации вышеуказанных объектов и сложного финансового положения 35 лет не производился капитальный ремонт скважин, в 2016 году был произведен капитальный ремонт павильонов артезианских скважин №1 ул. Красная, №2 ул. Школьная.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В результате расширения сети потребителей воды возникает необходимость бурения дополнительных артезианских скважин.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Необходимость в проведении ремонтных работ на артезианских скважинах возникает в связи с уменьшением их дебита, ухудшения качества воды в ходе эксплуатации, появлением процесса пескования, приводящего к заиливанию скважины и выходу из строя водоподъемного оборудования. Также наиболее частой причиной проведения ремонтных работ является обрыв водоподъемного оборудования, вызванный его частичным или полным износом в результате длительной эксплуатации, применения нестандартного инструмента и недостаточной квалификации обслуживающего персонала и специалистов ремонтных бригад, выполняющих работы по замене погружных артезианских насосов.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Ухудшение качества отбираемых подземных вод в Ильинском городском поселении может быть связано с перетоком воды из выше эксплуатируемых водоносных горизонтов из-за износа обсадных труб колонн или из-за нарушения герметичности сальниковых устройств и затрубной цементации. В этом случае скважина может заиливаться песком, проникающим через образовавшиеся свищи, трещины и разрывы в колонне обсадных труб.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Довольно часто наблюдаются случаи практически полного зарастания сечения труб железистыми отложениями, что, как правило, сопровождается и зарастанием фильтра, интенсивно проявляющимся с его внутренней стороны. При этом могут образовываться пленки различной толщины. По мере увеличения толщины пленок они могут под действием силы тяжести отрываться и оседать в отстойнике или на забое.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 зависимости от выявленных причин устанавливают преобладающие причины снижения дебита, назначают вид ремонтных работ и принимают технологию их проведения.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Фильтры и внутренние поверхности обсадных колонн очищают от рыхлых осадков после небольшого срока эксплуатации (1 - 3 года).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Для чистки скважины разработаны различные конструкции металлических ершей и скребковых устройств.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ab/>
        <w:t>Самой распространенной и частой причиной, вызывающей ремонт скважины является обрыв водоподъемного оборудования в скважине. Это случается, как правило, при замене погружного насоса при его выходе из строя или уменьшении его производительности. Обрыв случается, как правило, в местах соединения отдельных частей водоподъемного оборудования, так например, погружного насоса с водоподъемными трубами или соединение водоподъемных труб между собой. Такими видами соединений является резьбовое или фланцевое. И в том, и в другом соединениях основной причиной обрыва являются сильная коррозия металла (резьба, болты, гайки), а также применение нестандартного инструмента, несоответствующих механизмов, а также недостаточной квалификации специалистов в ремонтных бригадах.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imes New Roman" w:hAnsi="Times New Roman"/>
          <w:sz w:val="24"/>
        </w:rPr>
        <w:tab/>
        <w:t>Все перечисленные выше виды ремонтов скважин выполняются при помощи механизмов, с использованием активных и вредных химических веществ, электрической энергии, поэтому такое важное значение приобретает соблюдение техники безопасности и повышение квалификации всех работников, имеющих отношение к выполнению ремонтных работ на артезианских скважинах</w:t>
      </w:r>
      <w:r>
        <w:rPr>
          <w:rFonts w:ascii="Tahoma" w:hAnsi="Tahoma"/>
          <w:sz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imes New Roman" w:hAnsi="Times New Roman"/>
          <w:sz w:val="24"/>
        </w:rPr>
        <w:tab/>
        <w:t>Над устьем водозаборных скважин устраивается павильон, главное предназначение павильона - размещения оголовка скважины; приборов отопления, пусковой, контрольно-измерительной аппараратуры и приборов автоматики, а также части напорного трубопровода, на котором устанавливаются задвижки, обратный клапан.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Размеры павильона в плане принимаются исходя из размеров типовых железобетонных элементов и условий размещения в нем оборудования и обеспечения нормальных проходов.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imes New Roman" w:hAnsi="Times New Roman"/>
          <w:sz w:val="24"/>
        </w:rPr>
        <w:tab/>
        <w:t>На территории Ильинского городского поселения ремонт артезианских скважин, павильонов производится по мере необходимости, но из-за высокой стоимости и недостаточного финансирования произвести замену павильонов и самих артезианских скважин в полном объеме на сегодняшний день не предоставляется возможным.</w:t>
      </w:r>
    </w:p>
    <w:p>
      <w:pPr>
        <w:pStyle w:val="Normal"/>
        <w:spacing w:lineRule="auto" w:line="240" w:before="0" w:after="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ab/>
      </w:r>
      <w:r>
        <w:rPr>
          <w:rFonts w:ascii="Times New Roman" w:hAnsi="Times New Roman"/>
          <w:sz w:val="24"/>
        </w:rPr>
        <w:t>Данная подпрограмма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3. Цели, целевые индикаторы и ожидаемые результаты реализации подпрограммы</w:t>
      </w:r>
    </w:p>
    <w:p>
      <w:pPr>
        <w:pStyle w:val="ConsPlusNormal1"/>
        <w:jc w:val="center"/>
        <w:rPr>
          <w:b/>
          <w:b/>
          <w:spacing w:val="2"/>
        </w:rPr>
      </w:pPr>
      <w:r>
        <w:rPr>
          <w:b/>
          <w:spacing w:val="2"/>
          <w:sz w:val="24"/>
        </w:rPr>
        <w:t>3.1. Цели подпрограммы</w:t>
      </w:r>
    </w:p>
    <w:p>
      <w:pPr>
        <w:pStyle w:val="Formattext1"/>
        <w:spacing w:before="0" w:after="0"/>
        <w:ind w:left="0" w:right="0" w:firstLine="851"/>
        <w:jc w:val="both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ab/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ab/>
        <w:t>- восстановление, охрана и рациональное использование источников питьевого водоснабжения.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numPr>
          <w:ilvl w:val="0"/>
          <w:numId w:val="0"/>
        </w:numPr>
        <w:ind w:left="0" w:right="0" w:hanging="0"/>
        <w:jc w:val="center"/>
        <w:outlineLvl w:val="2"/>
        <w:rPr>
          <w:b/>
          <w:b/>
          <w:sz w:val="24"/>
        </w:rPr>
      </w:pPr>
      <w:r>
        <w:rPr>
          <w:b/>
          <w:sz w:val="24"/>
        </w:rPr>
        <w:t>3.2. Целевые индикаторы и ожидаемые результаты реализации подпрограммы</w:t>
      </w:r>
    </w:p>
    <w:p>
      <w:pPr>
        <w:pStyle w:val="Normal"/>
        <w:spacing w:lineRule="auto" w:line="240" w:before="0" w:after="0"/>
        <w:ind w:left="1863" w:right="0" w:hanging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p>
      <w:pPr>
        <w:pStyle w:val="Normal"/>
        <w:spacing w:lineRule="auto" w:line="240" w:before="0" w:after="0"/>
        <w:rPr>
          <w:sz w:val="2"/>
        </w:rPr>
      </w:pPr>
      <w:r>
        <w:rPr>
          <w:sz w:val="2"/>
        </w:rPr>
      </w:r>
    </w:p>
    <w:tbl>
      <w:tblPr>
        <w:tblStyle w:val="Style_4"/>
        <w:tblW w:w="9497" w:type="dxa"/>
        <w:jc w:val="left"/>
        <w:tblInd w:w="0" w:type="dxa"/>
        <w:tblBorders>
          <w:top w:val="single" w:sz="6" w:space="0" w:color="000001"/>
          <w:left w:val="single" w:sz="6" w:space="0" w:color="000001"/>
          <w:bottom w:val="single" w:sz="4" w:space="0" w:color="000001"/>
          <w:right w:val="single" w:sz="6" w:space="0" w:color="000001"/>
          <w:insideH w:val="single" w:sz="4" w:space="0" w:color="000001"/>
          <w:insideV w:val="single" w:sz="6" w:space="0" w:color="000001"/>
        </w:tblBorders>
        <w:tblCellMar>
          <w:top w:w="0" w:type="dxa"/>
          <w:left w:w="32" w:type="dxa"/>
          <w:bottom w:w="0" w:type="dxa"/>
          <w:right w:w="40" w:type="dxa"/>
        </w:tblCellMar>
      </w:tblPr>
      <w:tblGrid>
        <w:gridCol w:w="3039"/>
        <w:gridCol w:w="694"/>
        <w:gridCol w:w="1170"/>
        <w:gridCol w:w="930"/>
        <w:gridCol w:w="853"/>
        <w:gridCol w:w="871"/>
        <w:gridCol w:w="905"/>
        <w:gridCol w:w="1033"/>
      </w:tblGrid>
      <w:tr>
        <w:trPr>
          <w:trHeight w:val="514" w:hRule="exact"/>
        </w:trPr>
        <w:tc>
          <w:tcPr>
            <w:tcW w:w="303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72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(показателя)</w:t>
            </w:r>
          </w:p>
        </w:tc>
        <w:tc>
          <w:tcPr>
            <w:tcW w:w="69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Ед. изм.</w:t>
            </w:r>
          </w:p>
        </w:tc>
        <w:tc>
          <w:tcPr>
            <w:tcW w:w="1170" w:type="dxa"/>
            <w:vMerge w:val="restart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Исходный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7" w:right="0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показатель</w:t>
            </w:r>
          </w:p>
        </w:tc>
        <w:tc>
          <w:tcPr>
            <w:tcW w:w="4592" w:type="dxa"/>
            <w:gridSpan w:val="5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40" w:right="0" w:hanging="4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Годы</w:t>
            </w:r>
          </w:p>
        </w:tc>
      </w:tr>
      <w:tr>
        <w:trPr>
          <w:trHeight w:val="564" w:hRule="exact"/>
        </w:trPr>
        <w:tc>
          <w:tcPr>
            <w:tcW w:w="3039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94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170" w:type="dxa"/>
            <w:vMerge w:val="continue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93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2021</w:t>
            </w:r>
          </w:p>
        </w:tc>
        <w:tc>
          <w:tcPr>
            <w:tcW w:w="85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2022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2023</w:t>
            </w:r>
          </w:p>
        </w:tc>
        <w:tc>
          <w:tcPr>
            <w:tcW w:w="90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2024</w:t>
            </w:r>
          </w:p>
        </w:tc>
        <w:tc>
          <w:tcPr>
            <w:tcW w:w="103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2025</w:t>
            </w:r>
          </w:p>
        </w:tc>
      </w:tr>
      <w:tr>
        <w:trPr>
          <w:trHeight w:val="505" w:hRule="atLeast"/>
        </w:trPr>
        <w:tc>
          <w:tcPr>
            <w:tcW w:w="303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отремонтированных артезианских скважин</w:t>
            </w: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3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rPr>
          <w:trHeight w:val="552" w:hRule="atLeast"/>
        </w:trPr>
        <w:tc>
          <w:tcPr>
            <w:tcW w:w="303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отремонтированных павильонов артезианских скважин</w:t>
            </w: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5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7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0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3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  <w:insideH w:val="single" w:sz="4" w:space="0" w:color="000001"/>
              <w:insideV w:val="single" w:sz="6" w:space="0" w:color="000001"/>
            </w:tcBorders>
            <w:shd w:fill="FFFFFF" w:val="clear"/>
            <w:tcMar>
              <w:left w:w="3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</w:tbl>
    <w:p>
      <w:pPr>
        <w:pStyle w:val="Formattext1"/>
        <w:spacing w:before="280" w:after="0"/>
        <w:ind w:left="0" w:right="0" w:firstLine="851"/>
        <w:jc w:val="both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Реализация мероприятий Подпрограммы позволит: 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устранить причины возникновения аварийных ситуаций;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обеспечить выполнение мероприятий по модернизации систем водоснабжения;</w:t>
      </w:r>
    </w:p>
    <w:p>
      <w:pPr>
        <w:pStyle w:val="Normal"/>
        <w:tabs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- снизить уровень износа элементов системы водоснабжения;</w:t>
      </w:r>
    </w:p>
    <w:p>
      <w:pPr>
        <w:pStyle w:val="Normal"/>
        <w:tabs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left="0" w:righ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Formattext1"/>
        <w:spacing w:before="280" w:after="0"/>
        <w:jc w:val="center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1"/>
        <w:spacing w:before="0" w:after="0"/>
        <w:ind w:left="0" w:right="0" w:firstLine="851"/>
        <w:jc w:val="both"/>
        <w:rPr>
          <w:spacing w:val="2"/>
        </w:rPr>
      </w:pPr>
      <w:r>
        <w:rPr>
          <w:spacing w:val="2"/>
        </w:rPr>
        <w:t>Для достижения поставленных целей программы необходимо решение следующих задач: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за счет проведения необходимых объемов ремонтных работ, и технического перевооружения;</w:t>
      </w:r>
    </w:p>
    <w:p>
      <w:p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водоснабжения;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Formattext1"/>
        <w:spacing w:before="0" w:after="0"/>
        <w:jc w:val="both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Перечень мероприятий подпрограммы </w:t>
      </w:r>
    </w:p>
    <w:p>
      <w:pPr>
        <w:pStyle w:val="ListParagraph1"/>
        <w:tabs>
          <w:tab w:val="left" w:pos="0" w:leader="none"/>
        </w:tabs>
        <w:spacing w:lineRule="auto" w:line="240" w:before="0" w:after="0"/>
        <w:ind w:left="360" w:right="253" w:hanging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p>
      <w:pPr>
        <w:pStyle w:val="ListParagraph1"/>
        <w:tabs>
          <w:tab w:val="left" w:pos="0" w:leader="none"/>
        </w:tabs>
        <w:spacing w:lineRule="auto" w:line="240" w:before="0" w:after="0"/>
        <w:ind w:left="360" w:right="253" w:hanging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1"/>
        <w:tabs>
          <w:tab w:val="left" w:pos="0" w:leader="none"/>
        </w:tabs>
        <w:spacing w:lineRule="auto" w:line="240" w:before="0" w:after="0"/>
        <w:ind w:left="360" w:right="253" w:hanging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Style w:val="Style_4"/>
        <w:tblW w:w="14799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74"/>
        <w:gridCol w:w="4252"/>
        <w:gridCol w:w="1363"/>
        <w:gridCol w:w="1511"/>
        <w:gridCol w:w="3349"/>
        <w:gridCol w:w="3949"/>
      </w:tblGrid>
      <w:tr>
        <w:trPr>
          <w:trHeight w:val="411" w:hRule="atLeast"/>
        </w:trPr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№ </w:t>
            </w:r>
            <w:r>
              <w:rPr>
                <w:rFonts w:ascii="Times New Roman" w:hAnsi="Times New Roman"/>
                <w:b/>
                <w:sz w:val="20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(годы)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7" w:right="-109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7" w:right="-109" w:hanging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финансирования, тыс. руб.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Ответственные исполнители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Ожидаемые результаты</w:t>
            </w:r>
          </w:p>
        </w:tc>
      </w:tr>
      <w:tr>
        <w:trPr>
          <w:trHeight w:val="282" w:hRule="atLeast"/>
        </w:trPr>
        <w:tc>
          <w:tcPr>
            <w:tcW w:w="1479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«Реализация мероприятий по организации в границах Ильинского городского поселения электро, тепло, газо, водоснабжения населения и водоотведения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»</w:t>
            </w:r>
          </w:p>
        </w:tc>
      </w:tr>
      <w:tr>
        <w:trPr>
          <w:trHeight w:val="2362" w:hRule="atLeast"/>
        </w:trPr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Содержание и техническое обслуживание объектов коммунального хозяйства, муниципального имущества 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>(ремонт павильонов артезианских скважин, ремонт оборудования очистных сооружений, КНС, создание материально-технического запаса)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  <w:t>2021 г.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  <w:t>100,0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Содержание и техническое обслуживание объектов коммунального хозяйства, муниципального имущества 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>(ремонт павильонов артезианских скважин, создание материально-технического запаса)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Реконструкция и очистка аэротанков и иловых полей на очистных сооружениях</w:t>
            </w:r>
          </w:p>
        </w:tc>
        <w:tc>
          <w:tcPr>
            <w:tcW w:w="13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33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/>
        <w:tc>
          <w:tcPr>
            <w:tcW w:w="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Прокладка водопроводной линии по ул. Советская (подвод к зданию ЦРБ)</w:t>
            </w:r>
          </w:p>
        </w:tc>
        <w:tc>
          <w:tcPr>
            <w:tcW w:w="13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г.</w:t>
            </w:r>
          </w:p>
        </w:tc>
        <w:tc>
          <w:tcPr>
            <w:tcW w:w="15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66,0</w:t>
            </w:r>
          </w:p>
        </w:tc>
        <w:tc>
          <w:tcPr>
            <w:tcW w:w="33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266,0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Содержание и техническое обслуживание объектов коммунального хозяйства, муниципального имущества 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>(ремонт павильонов артезианских скважин, , создание материально-технического запаса)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Реконструкция и очистка иловых полей на очистных сооружениях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г.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13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</w:tc>
        <w:tc>
          <w:tcPr>
            <w:tcW w:w="15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200,0</w:t>
            </w:r>
          </w:p>
        </w:tc>
        <w:tc>
          <w:tcPr>
            <w:tcW w:w="33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/>
        <w:tc>
          <w:tcPr>
            <w:tcW w:w="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Мероприятия по организации в границах Ильинского городского поселения электро, тепло, газо, водоснабжения и водоотведения</w:t>
            </w:r>
          </w:p>
        </w:tc>
        <w:tc>
          <w:tcPr>
            <w:tcW w:w="13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г.</w:t>
            </w:r>
          </w:p>
        </w:tc>
        <w:tc>
          <w:tcPr>
            <w:tcW w:w="15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287,8</w:t>
            </w:r>
          </w:p>
        </w:tc>
        <w:tc>
          <w:tcPr>
            <w:tcW w:w="33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2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13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</w:tc>
        <w:tc>
          <w:tcPr>
            <w:tcW w:w="15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287,8</w:t>
            </w:r>
          </w:p>
        </w:tc>
        <w:tc>
          <w:tcPr>
            <w:tcW w:w="33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Мероприятия по организации в границах Ильинского городского поселения электро, тепло, газо, водоснабжения и водоотведения</w:t>
            </w:r>
          </w:p>
        </w:tc>
        <w:tc>
          <w:tcPr>
            <w:tcW w:w="1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 г.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287,8</w:t>
            </w:r>
          </w:p>
        </w:tc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МУП ЖКХ Ильинское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13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</w:t>
            </w:r>
          </w:p>
        </w:tc>
        <w:tc>
          <w:tcPr>
            <w:tcW w:w="15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287,8</w:t>
            </w:r>
          </w:p>
        </w:tc>
        <w:tc>
          <w:tcPr>
            <w:tcW w:w="33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sectPr>
          <w:headerReference w:type="default" r:id="rId3"/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1"/>
        <w:jc w:val="center"/>
        <w:rPr>
          <w:b/>
          <w:b/>
          <w:sz w:val="24"/>
        </w:rPr>
      </w:pPr>
      <w:r>
        <w:rPr>
          <w:b/>
          <w:sz w:val="24"/>
        </w:rPr>
        <w:t>5. Ресурсное обеспечение муниципальной подпрограммы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Style w:val="Style_4"/>
        <w:tblW w:w="9882" w:type="dxa"/>
        <w:jc w:val="left"/>
        <w:tblInd w:w="-38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890"/>
        <w:gridCol w:w="1277"/>
        <w:gridCol w:w="1244"/>
        <w:gridCol w:w="1145"/>
        <w:gridCol w:w="1080"/>
        <w:gridCol w:w="1245"/>
      </w:tblGrid>
      <w:tr>
        <w:trPr>
          <w:trHeight w:val="478" w:hRule="atLeast"/>
        </w:trPr>
        <w:tc>
          <w:tcPr>
            <w:tcW w:w="3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Направления финансирования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 источники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1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год</w:t>
            </w:r>
          </w:p>
        </w:tc>
      </w:tr>
      <w:tr>
        <w:trPr>
          <w:trHeight w:val="478" w:hRule="atLeast"/>
        </w:trPr>
        <w:tc>
          <w:tcPr>
            <w:tcW w:w="3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100,0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266,0</w:t>
            </w:r>
          </w:p>
        </w:tc>
        <w:tc>
          <w:tcPr>
            <w:tcW w:w="1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287,8</w:t>
            </w:r>
          </w:p>
        </w:tc>
        <w:tc>
          <w:tcPr>
            <w:tcW w:w="1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287,8</w:t>
            </w:r>
          </w:p>
          <w:p>
            <w:pPr>
              <w:pStyle w:val="ConsPlusNormal1"/>
              <w:widowControl w:val="false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478" w:hRule="atLeast"/>
        </w:trPr>
        <w:tc>
          <w:tcPr>
            <w:tcW w:w="988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«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</w:r>
          </w:p>
        </w:tc>
      </w:tr>
      <w:tr>
        <w:trPr>
          <w:trHeight w:val="399" w:hRule="atLeast"/>
        </w:trPr>
        <w:tc>
          <w:tcPr>
            <w:tcW w:w="3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266,0</w:t>
            </w:r>
          </w:p>
        </w:tc>
        <w:tc>
          <w:tcPr>
            <w:tcW w:w="1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287,8</w:t>
            </w:r>
          </w:p>
        </w:tc>
        <w:tc>
          <w:tcPr>
            <w:tcW w:w="1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287,8</w:t>
            </w:r>
          </w:p>
        </w:tc>
      </w:tr>
      <w:tr>
        <w:trPr>
          <w:trHeight w:val="420" w:hRule="atLeast"/>
        </w:trPr>
        <w:tc>
          <w:tcPr>
            <w:tcW w:w="3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headerReference w:type="default" r:id="rId4"/>
      <w:type w:val="nextPage"/>
      <w:pgSz w:w="11906" w:h="16838"/>
      <w:pgMar w:left="1418" w:right="991" w:header="0" w:top="1134" w:footer="0" w:bottom="709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lineRule="auto" w:line="276" w:before="0" w:after="200"/>
      <w:ind w:left="0" w:right="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8"/>
        <w:b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484" w:hanging="108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4248" w:hanging="180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5304" w:hanging="2160"/>
      </w:pPr>
    </w:lvl>
  </w:abstractNum>
  <w:abstractNum w:abstractNumId="2">
    <w:lvl w:ilvl="0">
      <w:start w:val="1"/>
      <w:numFmt w:val="decimal"/>
      <w:lvlText w:val="%1."/>
      <w:lvlJc w:val="left"/>
      <w:pPr>
        <w:ind w:left="509" w:hanging="450"/>
      </w:pPr>
    </w:lvl>
    <w:lvl w:ilvl="1">
      <w:start w:val="1"/>
      <w:numFmt w:val="lowerLetter"/>
      <w:lvlText w:val="%2."/>
      <w:lvlJc w:val="left"/>
      <w:pPr>
        <w:ind w:left="1139" w:hanging="360"/>
      </w:pPr>
    </w:lvl>
    <w:lvl w:ilvl="2">
      <w:start w:val="1"/>
      <w:numFmt w:val="lowerRoman"/>
      <w:lvlText w:val="%3."/>
      <w:lvlJc w:val="right"/>
      <w:pPr>
        <w:ind w:left="1859" w:hanging="180"/>
      </w:pPr>
    </w:lvl>
    <w:lvl w:ilvl="3">
      <w:start w:val="1"/>
      <w:numFmt w:val="decimal"/>
      <w:lvlText w:val="%4."/>
      <w:lvlJc w:val="left"/>
      <w:pPr>
        <w:ind w:left="2579" w:hanging="360"/>
      </w:pPr>
    </w:lvl>
    <w:lvl w:ilvl="4">
      <w:start w:val="1"/>
      <w:numFmt w:val="lowerLetter"/>
      <w:lvlText w:val="%5."/>
      <w:lvlJc w:val="left"/>
      <w:pPr>
        <w:ind w:left="3299" w:hanging="360"/>
      </w:pPr>
    </w:lvl>
    <w:lvl w:ilvl="5">
      <w:start w:val="1"/>
      <w:numFmt w:val="lowerRoman"/>
      <w:lvlText w:val="%6."/>
      <w:lvlJc w:val="right"/>
      <w:pPr>
        <w:ind w:left="4019" w:hanging="180"/>
      </w:pPr>
    </w:lvl>
    <w:lvl w:ilvl="6">
      <w:start w:val="1"/>
      <w:numFmt w:val="decimal"/>
      <w:lvlText w:val="%7."/>
      <w:lvlJc w:val="left"/>
      <w:pPr>
        <w:ind w:left="4739" w:hanging="360"/>
      </w:pPr>
    </w:lvl>
    <w:lvl w:ilvl="7">
      <w:start w:val="1"/>
      <w:numFmt w:val="lowerLetter"/>
      <w:lvlText w:val="%8."/>
      <w:lvlJc w:val="left"/>
      <w:pPr>
        <w:ind w:left="5459" w:hanging="360"/>
      </w:pPr>
    </w:lvl>
    <w:lvl w:ilvl="8">
      <w:start w:val="1"/>
      <w:numFmt w:val="lowerRoman"/>
      <w:lvlText w:val="%9."/>
      <w:lvlJc w:val="right"/>
      <w:pPr>
        <w:ind w:left="6179" w:hanging="180"/>
      </w:pPr>
    </w:lvl>
  </w:abstractNum>
  <w:abstractNum w:abstractNumId="3"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61" w:hanging="360"/>
      </w:pPr>
    </w:lvl>
    <w:lvl w:ilvl="2">
      <w:start w:val="1"/>
      <w:numFmt w:val="decimal"/>
      <w:lvlText w:val="%1.%2.%3."/>
      <w:lvlJc w:val="left"/>
      <w:pPr>
        <w:ind w:left="1122" w:hanging="720"/>
      </w:pPr>
    </w:lvl>
    <w:lvl w:ilvl="3">
      <w:start w:val="1"/>
      <w:numFmt w:val="decimal"/>
      <w:lvlText w:val="%1.%2.%3.%4."/>
      <w:lvlJc w:val="left"/>
      <w:pPr>
        <w:ind w:left="1323" w:hanging="720"/>
      </w:pPr>
    </w:lvl>
    <w:lvl w:ilvl="4">
      <w:start w:val="1"/>
      <w:numFmt w:val="decimal"/>
      <w:lvlText w:val="%1.%2.%3.%4.%5."/>
      <w:lvlJc w:val="left"/>
      <w:pPr>
        <w:ind w:left="1884" w:hanging="1080"/>
      </w:pPr>
    </w:lvl>
    <w:lvl w:ilvl="5">
      <w:start w:val="1"/>
      <w:numFmt w:val="decimal"/>
      <w:lvlText w:val="%1.%2.%3.%4.%5.%6."/>
      <w:lvlJc w:val="left"/>
      <w:pPr>
        <w:ind w:left="2085" w:hanging="1080"/>
      </w:pPr>
    </w:lvl>
    <w:lvl w:ilvl="6">
      <w:start w:val="1"/>
      <w:numFmt w:val="decimal"/>
      <w:lvlText w:val="%1.%2.%3.%4.%5.%6.%7."/>
      <w:lvlJc w:val="left"/>
      <w:pPr>
        <w:ind w:left="2646" w:hanging="1440"/>
      </w:pPr>
    </w:lvl>
    <w:lvl w:ilvl="7">
      <w:start w:val="1"/>
      <w:numFmt w:val="decimal"/>
      <w:lvlText w:val="%1.%2.%3.%4.%5.%6.%7.%8."/>
      <w:lvlJc w:val="left"/>
      <w:pPr>
        <w:ind w:left="2847" w:hanging="1440"/>
      </w:pPr>
    </w:lvl>
    <w:lvl w:ilvl="8">
      <w:start w:val="1"/>
      <w:numFmt w:val="decimal"/>
      <w:lvlText w:val="%1.%2.%3.%4.%5.%6.%7.%8.%9."/>
      <w:lvlJc w:val="left"/>
      <w:pPr>
        <w:ind w:left="3408" w:hanging="180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 w:asciiTheme="minorAscii" w:hAnsiTheme="minorHAns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6_ch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next w:val="Normal"/>
    <w:link w:val="Style_33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basedOn w:val="Normal"/>
    <w:next w:val="Normal"/>
    <w:link w:val="Style_48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basedOn w:val="Normal"/>
    <w:next w:val="Normal"/>
    <w:link w:val="Style_19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basedOn w:val="Normal"/>
    <w:next w:val="Normal"/>
    <w:link w:val="Style_47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basedOn w:val="Normal"/>
    <w:next w:val="Normal"/>
    <w:link w:val="Style_32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Footer">
    <w:name w:val="Footer"/>
    <w:link w:val="Style_10"/>
    <w:qFormat/>
    <w:rPr/>
  </w:style>
  <w:style w:type="character" w:styleId="Contents2">
    <w:name w:val="Contents 2"/>
    <w:link w:val="Style_11"/>
    <w:qFormat/>
    <w:rPr>
      <w:rFonts w:ascii="XO Thames" w:hAnsi="XO Thames"/>
      <w:sz w:val="28"/>
    </w:rPr>
  </w:style>
  <w:style w:type="character" w:styleId="Style9">
    <w:name w:val="Основной текст Знак"/>
    <w:basedOn w:val="DefaultParagraphFont"/>
    <w:link w:val="Style_12"/>
    <w:qFormat/>
    <w:rPr>
      <w:rFonts w:ascii="Calibri" w:hAnsi="Calibri"/>
    </w:rPr>
  </w:style>
  <w:style w:type="character" w:styleId="Style10">
    <w:name w:val="Интернет-ссылка"/>
    <w:link w:val="Style_36"/>
    <w:rPr>
      <w:color w:val="0000FF"/>
      <w:u w:val="single"/>
    </w:rPr>
  </w:style>
  <w:style w:type="character" w:styleId="Contents4">
    <w:name w:val="Contents 4"/>
    <w:link w:val="Style_15"/>
    <w:qFormat/>
    <w:rPr>
      <w:rFonts w:ascii="XO Thames" w:hAnsi="XO Thames"/>
      <w:sz w:val="28"/>
    </w:rPr>
  </w:style>
  <w:style w:type="character" w:styleId="Contents6">
    <w:name w:val="Contents 6"/>
    <w:link w:val="Style_16"/>
    <w:qFormat/>
    <w:rPr>
      <w:rFonts w:ascii="XO Thames" w:hAnsi="XO Thames"/>
      <w:sz w:val="28"/>
    </w:rPr>
  </w:style>
  <w:style w:type="character" w:styleId="Contents7">
    <w:name w:val="Contents 7"/>
    <w:link w:val="Style_17"/>
    <w:qFormat/>
    <w:rPr>
      <w:rFonts w:ascii="XO Thames" w:hAnsi="XO Thames"/>
      <w:sz w:val="28"/>
    </w:rPr>
  </w:style>
  <w:style w:type="character" w:styleId="Indexheading">
    <w:name w:val="index heading"/>
    <w:link w:val="Style_18"/>
    <w:qFormat/>
    <w:rPr/>
  </w:style>
  <w:style w:type="character" w:styleId="Tekstob">
    <w:name w:val="tekstob"/>
    <w:link w:val="Style_5"/>
    <w:qFormat/>
    <w:rPr>
      <w:rFonts w:ascii="Times New Roman" w:hAnsi="Times New Roman"/>
      <w:sz w:val="24"/>
    </w:rPr>
  </w:style>
  <w:style w:type="character" w:styleId="Heading3">
    <w:name w:val="Heading 3"/>
    <w:link w:val="Style_19"/>
    <w:qFormat/>
    <w:rPr>
      <w:rFonts w:ascii="XO Thames" w:hAnsi="XO Thames"/>
      <w:b/>
      <w:sz w:val="26"/>
    </w:rPr>
  </w:style>
  <w:style w:type="character" w:styleId="NormalWeb">
    <w:name w:val="Normal (Web)"/>
    <w:link w:val="Style_20"/>
    <w:qFormat/>
    <w:rPr>
      <w:rFonts w:ascii="Times New Roman" w:hAnsi="Times New Roman"/>
      <w:sz w:val="24"/>
    </w:rPr>
  </w:style>
  <w:style w:type="character" w:styleId="Header">
    <w:name w:val="Header"/>
    <w:basedOn w:val="Style16"/>
    <w:link w:val="Style_21"/>
    <w:qFormat/>
    <w:rPr/>
  </w:style>
  <w:style w:type="character" w:styleId="ConsPlusTitle">
    <w:name w:val="ConsPlusTitle"/>
    <w:link w:val="Style_3"/>
    <w:qFormat/>
    <w:rPr>
      <w:rFonts w:ascii="Arial" w:hAnsi="Arial"/>
      <w:b/>
      <w:sz w:val="20"/>
    </w:rPr>
  </w:style>
  <w:style w:type="character" w:styleId="Style11">
    <w:name w:val="Заголовок"/>
    <w:link w:val="Style_23"/>
    <w:qFormat/>
    <w:rPr>
      <w:rFonts w:ascii="Liberation Sans" w:hAnsi="Liberation Sans"/>
      <w:sz w:val="28"/>
    </w:rPr>
  </w:style>
  <w:style w:type="character" w:styleId="Style12">
    <w:name w:val="Текст выноски Знак"/>
    <w:basedOn w:val="DefaultParagraphFont"/>
    <w:link w:val="Style_25"/>
    <w:qFormat/>
    <w:rPr>
      <w:rFonts w:ascii="Tahoma" w:hAnsi="Tahoma"/>
      <w:sz w:val="16"/>
    </w:rPr>
  </w:style>
  <w:style w:type="character" w:styleId="Style13">
    <w:name w:val="Содержимое врезки"/>
    <w:link w:val="Style_26"/>
    <w:qFormat/>
    <w:rPr/>
  </w:style>
  <w:style w:type="character" w:styleId="ListParagraph">
    <w:name w:val="List Paragraph"/>
    <w:link w:val="Style_9"/>
    <w:qFormat/>
    <w:rPr/>
  </w:style>
  <w:style w:type="character" w:styleId="ConsPlusCell">
    <w:name w:val="ConsPlusCell"/>
    <w:link w:val="Style_27"/>
    <w:qFormat/>
    <w:rPr>
      <w:rFonts w:ascii="Courier New" w:hAnsi="Courier New"/>
      <w:sz w:val="20"/>
    </w:rPr>
  </w:style>
  <w:style w:type="character" w:styleId="Caption">
    <w:name w:val="Caption"/>
    <w:link w:val="Style_28"/>
    <w:qFormat/>
    <w:rPr>
      <w:i/>
      <w:sz w:val="24"/>
    </w:rPr>
  </w:style>
  <w:style w:type="character" w:styleId="PlainText">
    <w:name w:val="Plain Text"/>
    <w:link w:val="Style_29"/>
    <w:qFormat/>
    <w:rPr>
      <w:rFonts w:ascii="Courier New" w:hAnsi="Courier New"/>
      <w:sz w:val="20"/>
    </w:rPr>
  </w:style>
  <w:style w:type="character" w:styleId="Contents3">
    <w:name w:val="Contents 3"/>
    <w:link w:val="Style_30"/>
    <w:qFormat/>
    <w:rPr>
      <w:rFonts w:ascii="XO Thames" w:hAnsi="XO Thames"/>
      <w:sz w:val="28"/>
    </w:rPr>
  </w:style>
  <w:style w:type="character" w:styleId="BalloonText">
    <w:name w:val="Balloon Text"/>
    <w:link w:val="Style_31"/>
    <w:qFormat/>
    <w:rPr>
      <w:rFonts w:ascii="Tahoma" w:hAnsi="Tahoma"/>
      <w:sz w:val="16"/>
    </w:rPr>
  </w:style>
  <w:style w:type="character" w:styleId="Formattext">
    <w:name w:val="formattext"/>
    <w:link w:val="Style_8"/>
    <w:qFormat/>
    <w:rPr>
      <w:rFonts w:ascii="Times New Roman" w:hAnsi="Times New Roman"/>
      <w:sz w:val="24"/>
    </w:rPr>
  </w:style>
  <w:style w:type="character" w:styleId="DefaultParagraphFont">
    <w:name w:val="Default Paragraph Font"/>
    <w:link w:val="Style_13"/>
    <w:qFormat/>
    <w:rPr/>
  </w:style>
  <w:style w:type="character" w:styleId="Appleconvertedspace">
    <w:name w:val="apple-converted-space"/>
    <w:basedOn w:val="DefaultParagraphFont"/>
    <w:link w:val="Style_7"/>
    <w:qFormat/>
    <w:rPr/>
  </w:style>
  <w:style w:type="character" w:styleId="Heading5">
    <w:name w:val="Heading 5"/>
    <w:link w:val="Style_32"/>
    <w:qFormat/>
    <w:rPr>
      <w:rFonts w:ascii="XO Thames" w:hAnsi="XO Thames"/>
      <w:b/>
      <w:sz w:val="22"/>
    </w:rPr>
  </w:style>
  <w:style w:type="character" w:styleId="Heading1">
    <w:name w:val="Heading 1"/>
    <w:link w:val="Style_33"/>
    <w:qFormat/>
    <w:rPr>
      <w:rFonts w:ascii="XO Thames" w:hAnsi="XO Thames"/>
      <w:b/>
      <w:sz w:val="32"/>
    </w:rPr>
  </w:style>
  <w:style w:type="character" w:styleId="Style14">
    <w:name w:val="Заголовок таблицы"/>
    <w:basedOn w:val="Style17"/>
    <w:link w:val="Style_34"/>
    <w:qFormat/>
    <w:rPr>
      <w:b/>
    </w:rPr>
  </w:style>
  <w:style w:type="character" w:styleId="Footnote">
    <w:name w:val="Footnote"/>
    <w:link w:val="Style_37"/>
    <w:qFormat/>
    <w:rPr>
      <w:rFonts w:ascii="XO Thames" w:hAnsi="XO Thames"/>
      <w:sz w:val="22"/>
    </w:rPr>
  </w:style>
  <w:style w:type="character" w:styleId="Contents1">
    <w:name w:val="Contents 1"/>
    <w:link w:val="Style_38"/>
    <w:qFormat/>
    <w:rPr>
      <w:rFonts w:ascii="XO Thames" w:hAnsi="XO Thames"/>
      <w:b/>
      <w:sz w:val="28"/>
    </w:rPr>
  </w:style>
  <w:style w:type="character" w:styleId="HeaderandFooter">
    <w:name w:val="Header and Footer"/>
    <w:link w:val="Style_39"/>
    <w:qFormat/>
    <w:rPr>
      <w:rFonts w:ascii="XO Thames" w:hAnsi="XO Thames"/>
      <w:sz w:val="20"/>
    </w:rPr>
  </w:style>
  <w:style w:type="character" w:styleId="Style15">
    <w:name w:val="Текст Знак"/>
    <w:basedOn w:val="DefaultParagraphFont"/>
    <w:link w:val="Style_40"/>
    <w:qFormat/>
    <w:rPr>
      <w:rFonts w:ascii="Courier New" w:hAnsi="Courier New"/>
      <w:sz w:val="20"/>
    </w:rPr>
  </w:style>
  <w:style w:type="character" w:styleId="Contents9">
    <w:name w:val="Contents 9"/>
    <w:link w:val="Style_41"/>
    <w:qFormat/>
    <w:rPr>
      <w:rFonts w:ascii="XO Thames" w:hAnsi="XO Thames"/>
      <w:sz w:val="28"/>
    </w:rPr>
  </w:style>
  <w:style w:type="character" w:styleId="Style16">
    <w:name w:val="Верхний и нижний колонтитулы"/>
    <w:link w:val="Style_22"/>
    <w:qFormat/>
    <w:rPr/>
  </w:style>
  <w:style w:type="character" w:styleId="List">
    <w:name w:val="List"/>
    <w:basedOn w:val="Textbody"/>
    <w:link w:val="Style_42"/>
    <w:qFormat/>
    <w:rPr/>
  </w:style>
  <w:style w:type="character" w:styleId="Style17">
    <w:name w:val="Содержимое таблицы"/>
    <w:link w:val="Style_35"/>
    <w:qFormat/>
    <w:rPr/>
  </w:style>
  <w:style w:type="character" w:styleId="Contents8">
    <w:name w:val="Contents 8"/>
    <w:link w:val="Style_43"/>
    <w:qFormat/>
    <w:rPr>
      <w:rFonts w:ascii="XO Thames" w:hAnsi="XO Thames"/>
      <w:sz w:val="28"/>
    </w:rPr>
  </w:style>
  <w:style w:type="character" w:styleId="Textbody">
    <w:name w:val="Text body"/>
    <w:link w:val="Style_24"/>
    <w:qFormat/>
    <w:rPr/>
  </w:style>
  <w:style w:type="character" w:styleId="Contents5">
    <w:name w:val="Contents 5"/>
    <w:link w:val="Style_44"/>
    <w:qFormat/>
    <w:rPr>
      <w:rFonts w:ascii="XO Thames" w:hAnsi="XO Thames"/>
      <w:sz w:val="28"/>
    </w:rPr>
  </w:style>
  <w:style w:type="character" w:styleId="Subtitle">
    <w:name w:val="Subtitle"/>
    <w:link w:val="Style_45"/>
    <w:qFormat/>
    <w:rPr>
      <w:rFonts w:ascii="XO Thames" w:hAnsi="XO Thames"/>
      <w:i/>
      <w:sz w:val="24"/>
    </w:rPr>
  </w:style>
  <w:style w:type="character" w:styleId="ConsPlusNormal">
    <w:name w:val="ConsPlusNormal"/>
    <w:link w:val="Style_2"/>
    <w:qFormat/>
    <w:rPr>
      <w:rFonts w:ascii="Times New Roman" w:hAnsi="Times New Roman"/>
      <w:sz w:val="28"/>
    </w:rPr>
  </w:style>
  <w:style w:type="character" w:styleId="Title">
    <w:name w:val="Title"/>
    <w:link w:val="Style_46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47"/>
    <w:qFormat/>
    <w:rPr>
      <w:rFonts w:ascii="XO Thames" w:hAnsi="XO Thames"/>
      <w:b/>
      <w:sz w:val="24"/>
    </w:rPr>
  </w:style>
  <w:style w:type="character" w:styleId="Heading2">
    <w:name w:val="Heading 2"/>
    <w:link w:val="Style_48"/>
    <w:qFormat/>
    <w:rPr>
      <w:rFonts w:ascii="XO Thames" w:hAnsi="XO Thames"/>
      <w:b/>
      <w:sz w:val="28"/>
    </w:rPr>
  </w:style>
  <w:style w:type="character" w:styleId="ListLabel1">
    <w:name w:val="ListLabel 1"/>
    <w:qFormat/>
    <w:rPr>
      <w:rFonts w:ascii="Times New Roman" w:hAnsi="Times New Roman"/>
      <w:b w:val="false"/>
      <w:sz w:val="28"/>
    </w:rPr>
  </w:style>
  <w:style w:type="paragraph" w:styleId="Style18">
    <w:name w:val="Заголовок"/>
    <w:basedOn w:val="Normal"/>
    <w:next w:val="Style19"/>
    <w:link w:val="Style_23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9">
    <w:name w:val="Body Text"/>
    <w:basedOn w:val="Normal"/>
    <w:link w:val="Style_24_ch"/>
    <w:pPr>
      <w:spacing w:before="0" w:after="120"/>
    </w:pPr>
    <w:rPr/>
  </w:style>
  <w:style w:type="paragraph" w:styleId="Style20">
    <w:name w:val="List"/>
    <w:basedOn w:val="Style19"/>
    <w:link w:val="Style_42_ch"/>
    <w:pPr/>
    <w:rPr/>
  </w:style>
  <w:style w:type="paragraph" w:styleId="Style21">
    <w:name w:val="Caption"/>
    <w:basedOn w:val="Normal"/>
    <w:link w:val="Style_28_ch"/>
    <w:qFormat/>
    <w:pPr>
      <w:spacing w:before="120" w:after="120"/>
    </w:pPr>
    <w:rPr>
      <w:i/>
      <w:sz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>
    <w:name w:val="Верхний и нижний колонтитулы"/>
    <w:basedOn w:val="Normal"/>
    <w:link w:val="Style_22_ch"/>
    <w:qFormat/>
    <w:pPr>
      <w:tabs>
        <w:tab w:val="center" w:pos="4748" w:leader="none"/>
        <w:tab w:val="right" w:pos="9497" w:leader="none"/>
      </w:tabs>
    </w:pPr>
    <w:rPr/>
  </w:style>
  <w:style w:type="paragraph" w:styleId="Style24">
    <w:name w:val="Footer"/>
    <w:basedOn w:val="Normal"/>
    <w:link w:val="Style_10_ch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21">
    <w:name w:val="TOC 2"/>
    <w:basedOn w:val="Normal"/>
    <w:next w:val="Normal"/>
    <w:link w:val="Style_11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5">
    <w:name w:val="Основной текст Знак"/>
    <w:basedOn w:val="DefaultParagraphFont1"/>
    <w:link w:val="Style_12_ch"/>
    <w:qFormat/>
    <w:pPr/>
    <w:rPr>
      <w:rFonts w:ascii="Calibri" w:hAnsi="Calibri"/>
    </w:rPr>
  </w:style>
  <w:style w:type="paragraph" w:styleId="Style26">
    <w:name w:val="Интернет-ссылка"/>
    <w:basedOn w:val="DefaultParagraphFont1"/>
    <w:link w:val="Style_14_ch"/>
    <w:qFormat/>
    <w:pPr/>
    <w:rPr>
      <w:color w:val="0000FF"/>
      <w:u w:val="single"/>
    </w:rPr>
  </w:style>
  <w:style w:type="paragraph" w:styleId="41">
    <w:name w:val="TOC 4"/>
    <w:basedOn w:val="Normal"/>
    <w:next w:val="Normal"/>
    <w:link w:val="Style_15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basedOn w:val="Normal"/>
    <w:next w:val="Normal"/>
    <w:link w:val="Style_16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basedOn w:val="Normal"/>
    <w:next w:val="Normal"/>
    <w:link w:val="Style_17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1">
    <w:name w:val="index heading"/>
    <w:basedOn w:val="Normal"/>
    <w:link w:val="Style_18_ch"/>
    <w:qFormat/>
    <w:pPr/>
    <w:rPr/>
  </w:style>
  <w:style w:type="paragraph" w:styleId="Tekstob1">
    <w:name w:val="tekstob"/>
    <w:basedOn w:val="Normal"/>
    <w:link w:val="Style_5_ch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NormalWeb1">
    <w:name w:val="Normal (Web)"/>
    <w:basedOn w:val="Normal"/>
    <w:link w:val="Style_20_ch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Style27">
    <w:name w:val="Header"/>
    <w:basedOn w:val="Style23"/>
    <w:link w:val="Style_21_ch"/>
    <w:pPr/>
    <w:rPr/>
  </w:style>
  <w:style w:type="paragraph" w:styleId="ConsPlusTitle1">
    <w:name w:val="ConsPlusTitle"/>
    <w:link w:val="Style_3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8">
    <w:name w:val="Текст выноски Знак"/>
    <w:basedOn w:val="DefaultParagraphFont1"/>
    <w:link w:val="Style_25_ch"/>
    <w:qFormat/>
    <w:pPr/>
    <w:rPr>
      <w:rFonts w:ascii="Tahoma" w:hAnsi="Tahoma"/>
      <w:sz w:val="16"/>
    </w:rPr>
  </w:style>
  <w:style w:type="paragraph" w:styleId="Style29">
    <w:name w:val="Содержимое врезки"/>
    <w:basedOn w:val="Normal"/>
    <w:link w:val="Style_26_ch"/>
    <w:qFormat/>
    <w:pPr/>
    <w:rPr/>
  </w:style>
  <w:style w:type="paragraph" w:styleId="ListParagraph1">
    <w:name w:val="List Paragraph"/>
    <w:basedOn w:val="Normal"/>
    <w:link w:val="Style_9_ch"/>
    <w:qFormat/>
    <w:pPr>
      <w:spacing w:before="0" w:after="200"/>
      <w:ind w:left="720" w:right="0" w:hanging="0"/>
      <w:contextualSpacing/>
    </w:pPr>
    <w:rPr/>
  </w:style>
  <w:style w:type="paragraph" w:styleId="ConsPlusCell1">
    <w:name w:val="ConsPlusCell"/>
    <w:link w:val="Style_2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PlainText1">
    <w:name w:val="Plain Text"/>
    <w:basedOn w:val="Normal"/>
    <w:link w:val="Style_29_ch"/>
    <w:qFormat/>
    <w:pPr>
      <w:spacing w:lineRule="auto" w:line="240" w:before="0" w:after="0"/>
    </w:pPr>
    <w:rPr>
      <w:rFonts w:ascii="Courier New" w:hAnsi="Courier New"/>
      <w:sz w:val="20"/>
    </w:rPr>
  </w:style>
  <w:style w:type="paragraph" w:styleId="31">
    <w:name w:val="TOC 3"/>
    <w:basedOn w:val="Normal"/>
    <w:next w:val="Normal"/>
    <w:link w:val="Style_30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"/>
    <w:basedOn w:val="Normal"/>
    <w:link w:val="Style_31_ch"/>
    <w:qFormat/>
    <w:pPr>
      <w:spacing w:lineRule="auto" w:line="240" w:before="0" w:after="0"/>
    </w:pPr>
    <w:rPr>
      <w:rFonts w:ascii="Tahoma" w:hAnsi="Tahoma"/>
      <w:sz w:val="16"/>
    </w:rPr>
  </w:style>
  <w:style w:type="paragraph" w:styleId="Formattext1">
    <w:name w:val="formattext"/>
    <w:basedOn w:val="Normal"/>
    <w:link w:val="Style_8_ch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DefaultParagraphFont1">
    <w:name w:val="Default Paragraph Font"/>
    <w:link w:val="Style_13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Appleconvertedspace1">
    <w:name w:val="apple-converted-space"/>
    <w:basedOn w:val="DefaultParagraphFont1"/>
    <w:link w:val="Style_7_ch"/>
    <w:qFormat/>
    <w:pPr/>
    <w:rPr/>
  </w:style>
  <w:style w:type="paragraph" w:styleId="Style30">
    <w:name w:val="Содержимое таблицы"/>
    <w:basedOn w:val="Normal"/>
    <w:link w:val="Style_35_ch"/>
    <w:qFormat/>
    <w:pPr>
      <w:widowControl w:val="false"/>
    </w:pPr>
    <w:rPr/>
  </w:style>
  <w:style w:type="paragraph" w:styleId="Style31">
    <w:name w:val="Заголовок таблицы"/>
    <w:basedOn w:val="Style30"/>
    <w:link w:val="Style_34_ch"/>
    <w:qFormat/>
    <w:pPr>
      <w:jc w:val="center"/>
    </w:pPr>
    <w:rPr>
      <w:b/>
    </w:rPr>
  </w:style>
  <w:style w:type="paragraph" w:styleId="Internetlink">
    <w:name w:val="Internet link"/>
    <w:link w:val="Style_3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37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basedOn w:val="Normal"/>
    <w:next w:val="Normal"/>
    <w:link w:val="Style_38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32">
    <w:name w:val="Текст Знак"/>
    <w:basedOn w:val="DefaultParagraphFont1"/>
    <w:link w:val="Style_40_ch"/>
    <w:qFormat/>
    <w:pPr/>
    <w:rPr>
      <w:rFonts w:ascii="Courier New" w:hAnsi="Courier New"/>
      <w:sz w:val="20"/>
    </w:rPr>
  </w:style>
  <w:style w:type="paragraph" w:styleId="9">
    <w:name w:val="TOC 9"/>
    <w:basedOn w:val="Normal"/>
    <w:next w:val="Normal"/>
    <w:link w:val="Style_41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basedOn w:val="Normal"/>
    <w:next w:val="Normal"/>
    <w:link w:val="Style_43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basedOn w:val="Normal"/>
    <w:next w:val="Normal"/>
    <w:link w:val="Style_44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3">
    <w:name w:val="Subtitle"/>
    <w:basedOn w:val="Normal"/>
    <w:next w:val="Normal"/>
    <w:link w:val="Style_45_ch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">
    <w:name w:val="ConsPlusNormal"/>
    <w:link w:val="Style_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4">
    <w:name w:val="Title"/>
    <w:basedOn w:val="Normal"/>
    <w:next w:val="Normal"/>
    <w:link w:val="Style_46_ch"/>
    <w:uiPriority w:val="10"/>
    <w:qFormat/>
    <w:pPr>
      <w:widowControl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styleId="Style_49">
    <w:name w:val="Table Grid"/>
    <w:basedOn w:val="Style_4"/>
    <w:rPr>
      <w:sz w:val="20"/>
    </w:rPr>
    <w:tblPr>
      <w:tblInd w:w="0" w:type="dxa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Style_4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LibreOffice/5.4.4.2$Windows_x86 LibreOffice_project/2524958677847fb3bb44820e40380acbe820f960</Application>
  <Pages>23</Pages>
  <Words>6326</Words>
  <Characters>46836</Characters>
  <CharactersWithSpaces>52224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2022-12-22T16:37:50Z</cp:lastPrinted>
  <dcterms:modified xsi:type="dcterms:W3CDTF">2022-12-22T16:37:31Z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