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footer4.xml" ContentType="application/vnd.openxmlformats-officedocument.wordprocessingml.footer+xml"/>
  <Override PartName="/word/media/image3.png" ContentType="image/png"/>
  <Override PartName="/word/media/image1.jpeg" ContentType="image/jpeg"/>
  <Override PartName="/word/media/image2.png" ContentType="image/png"/>
  <Override PartName="/word/media/image6.jpeg" ContentType="image/jpeg"/>
  <Override PartName="/word/media/image4.png" ContentType="image/png"/>
  <Override PartName="/word/media/image5.png" ContentType="image/png"/>
  <Override PartName="/word/media/image9.png" ContentType="image/png"/>
  <Override PartName="/word/media/image7.jpeg" ContentType="image/jpeg"/>
  <Override PartName="/word/media/image8.jpeg" ContentType="image/jpeg"/>
  <Override PartName="/word/media/image10.jpeg" ContentType="image/jpeg"/>
  <Override PartName="/word/media/image11.jpeg" ContentType="image/jpeg"/>
  <Override PartName="/word/media/image12.jpeg" ContentType="image/jpeg"/>
  <Override PartName="/word/media/image13.jpeg" ContentType="image/jpeg"/>
  <Override PartName="/word/media/image14.jpeg" ContentType="image/jpeg"/>
  <Override PartName="/word/media/image15.jpeg" ContentType="image/jpeg"/>
  <Override PartName="/word/media/image16.jpeg" ContentType="image/jpeg"/>
  <Override PartName="/word/media/image17.png" ContentType="image/png"/>
  <Override PartName="/word/media/image18.png" ContentType="image/png"/>
  <Override PartName="/word/media/image19.jpeg" ContentType="image/jpeg"/>
  <Override PartName="/word/media/image20.jpeg" ContentType="image/jpeg"/>
  <Override PartName="/word/media/image21.jpeg" ContentType="image/jpeg"/>
  <Override PartName="/word/media/image22.jpeg" ContentType="image/jpeg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_rels/document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tbl>
      <w:tblPr>
        <w:tblW w:w="10440" w:type="dxa"/>
        <w:jc w:val="left"/>
        <w:tblInd w:w="-510" w:type="dxa"/>
        <w:tblBorders>
          <w:top w:val="threeDEngrave" w:sz="24" w:space="0" w:color="00000A"/>
          <w:left w:val="threeDEngrave" w:sz="24" w:space="0" w:color="00000A"/>
          <w:bottom w:val="threeDEmboss" w:sz="24" w:space="0" w:color="00000A"/>
          <w:right w:val="threeDEmboss" w:sz="24" w:space="0" w:color="00000A"/>
          <w:insideH w:val="threeDEmboss" w:sz="24" w:space="0" w:color="00000A"/>
          <w:insideV w:val="threeDEmboss" w:sz="24" w:space="0" w:color="00000A"/>
        </w:tblBorders>
        <w:tblCellMar>
          <w:top w:w="0" w:type="dxa"/>
          <w:left w:w="-60" w:type="dxa"/>
          <w:bottom w:w="0" w:type="dxa"/>
          <w:right w:w="108" w:type="dxa"/>
        </w:tblCellMar>
      </w:tblPr>
      <w:tblGrid>
        <w:gridCol w:w="10440"/>
      </w:tblGrid>
      <w:tr>
        <w:trPr>
          <w:trHeight w:val="585" w:hRule="atLeast"/>
        </w:trPr>
        <w:tc>
          <w:tcPr>
            <w:tcW w:w="10440" w:type="dxa"/>
            <w:tcBorders>
              <w:top w:val="threeDEngrave" w:sz="24" w:space="0" w:color="00000A"/>
              <w:left w:val="threeDEngrave" w:sz="24" w:space="0" w:color="00000A"/>
              <w:bottom w:val="threeDEmboss" w:sz="24" w:space="0" w:color="00000A"/>
              <w:right w:val="threeDEmboss" w:sz="24" w:space="0" w:color="00000A"/>
              <w:insideH w:val="threeDEmboss" w:sz="24" w:space="0" w:color="00000A"/>
              <w:insideV w:val="threeDEmboss" w:sz="24" w:space="0" w:color="00000A"/>
            </w:tcBorders>
            <w:shd w:fill="548DD4" w:val="clear"/>
            <w:tcMar>
              <w:left w:w="-60" w:type="dxa"/>
            </w:tcMar>
          </w:tcPr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8"/>
                <w:szCs w:val="48"/>
              </w:rPr>
            </w:pPr>
            <w:r>
              <w:rPr>
                <w:rFonts w:cs="Bookman Old Style" w:ascii="Bookman Old Style" w:hAnsi="Bookman Old Style"/>
                <w:b/>
                <w:bCs/>
                <w:sz w:val="48"/>
                <w:szCs w:val="48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/>
            </w:pPr>
            <w:r>
              <w:rPr/>
              <w:drawing>
                <wp:inline distT="0" distB="0" distL="0" distR="0">
                  <wp:extent cx="895985" cy="1076960"/>
                  <wp:effectExtent l="0" t="0" r="0" b="0"/>
                  <wp:docPr id="1" name="Рисунок 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985" cy="1076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24"/>
                <w:szCs w:val="24"/>
              </w:rPr>
            </w:pPr>
            <w:r>
              <w:rPr>
                <w:rFonts w:cs="Bookman Old Style" w:ascii="Bookman Old Style" w:hAnsi="Bookman Old Style"/>
                <w:b/>
                <w:bCs/>
                <w:sz w:val="24"/>
                <w:szCs w:val="24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24"/>
                <w:szCs w:val="24"/>
              </w:rPr>
            </w:pPr>
            <w:r>
              <w:rPr>
                <w:rFonts w:cs="Bookman Old Style" w:ascii="Bookman Old Style" w:hAnsi="Bookman Old Style"/>
                <w:b/>
                <w:bCs/>
                <w:sz w:val="24"/>
                <w:szCs w:val="24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24"/>
                <w:szCs w:val="24"/>
              </w:rPr>
            </w:pPr>
            <w:r>
              <w:rPr>
                <w:rFonts w:cs="Bookman Old Style" w:ascii="Bookman Old Style" w:hAnsi="Bookman Old Style"/>
                <w:b/>
                <w:bCs/>
                <w:sz w:val="24"/>
                <w:szCs w:val="24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24"/>
                <w:szCs w:val="24"/>
              </w:rPr>
            </w:pPr>
            <w:r>
              <w:rPr>
                <w:rFonts w:cs="Bookman Old Style" w:ascii="Bookman Old Style" w:hAnsi="Bookman Old Style"/>
                <w:b/>
                <w:bCs/>
                <w:sz w:val="24"/>
                <w:szCs w:val="24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24"/>
                <w:szCs w:val="24"/>
              </w:rPr>
            </w:pPr>
            <w:r>
              <w:rPr>
                <w:rFonts w:cs="Bookman Old Style" w:ascii="Bookman Old Style" w:hAnsi="Bookman Old Style"/>
                <w:b/>
                <w:bCs/>
                <w:sz w:val="24"/>
                <w:szCs w:val="24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24"/>
                <w:szCs w:val="24"/>
              </w:rPr>
            </w:pPr>
            <w:r>
              <w:rPr>
                <w:rFonts w:cs="Bookman Old Style" w:ascii="Bookman Old Style" w:hAnsi="Bookman Old Style"/>
                <w:b/>
                <w:bCs/>
                <w:sz w:val="24"/>
                <w:szCs w:val="24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24"/>
                <w:szCs w:val="24"/>
              </w:rPr>
            </w:pPr>
            <w:r>
              <w:rPr>
                <w:rFonts w:cs="Bookman Old Style" w:ascii="Bookman Old Style" w:hAnsi="Bookman Old Style"/>
                <w:b/>
                <w:bCs/>
                <w:sz w:val="24"/>
                <w:szCs w:val="24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24"/>
                <w:szCs w:val="24"/>
              </w:rPr>
            </w:pPr>
            <w:r>
              <w:rPr>
                <w:rFonts w:cs="Bookman Old Style" w:ascii="Bookman Old Style" w:hAnsi="Bookman Old Style"/>
                <w:b/>
                <w:bCs/>
                <w:sz w:val="24"/>
                <w:szCs w:val="24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24"/>
                <w:szCs w:val="24"/>
              </w:rPr>
            </w:pPr>
            <w:r>
              <w:rPr>
                <w:rFonts w:cs="Bookman Old Style" w:ascii="Bookman Old Style" w:hAnsi="Bookman Old Style"/>
                <w:b/>
                <w:bCs/>
                <w:sz w:val="24"/>
                <w:szCs w:val="24"/>
              </w:rPr>
              <w:pict>
                <v:shapetype id="shapetype_136" coordsize="21600,21600" o:spt="136" adj="10800" path="m@9,l@10,em@11,21600l@12,21600e">
                  <v:stroke joinstyle="miter"/>
                  <v:formulas>
                    <v:f eqn="val #0"/>
                    <v:f eqn="sum @0 0 10800"/>
                    <v:f eqn="sum @0 0 0"/>
                    <v:f eqn="sum width 0 @0"/>
                    <v:f eqn="prod @2 2 1"/>
                    <v:f eqn="prod @3 2 1"/>
                    <v:f eqn="if @1 @5 @4"/>
                    <v:f eqn="sum 0 @6 0"/>
                    <v:f eqn="sum width 0 @6"/>
                    <v:f eqn="if @1 0 @8"/>
                    <v:f eqn="if @1 @7 width"/>
                    <v:f eqn="if @1 @8 0"/>
                    <v:f eqn="if @1 width @7"/>
                  </v:formulas>
                  <v:handles>
                    <v:h position="@0,21600"/>
                  </v:handles>
                </v:shapetype>
                <v:shape id="shape_0" fillcolor="white" stroked="t" style="position:absolute;margin-left:31.55pt;margin-top:1.05pt;width:468.5pt;height:74.75pt" type="shapetype_136">
                  <v:path textpathok="t"/>
                  <v:textpath on="t" fitshape="t" string="ИНВЕСТИЦИОННЫЙ ПАСПОРТ" style="font-family:&quot;Times New Roman&quot;"/>
                  <w10:wrap type="none"/>
                  <v:fill o:detectmouseclick="t" type="solid" color2="black"/>
                  <v:stroke color="black" joinstyle="miter" endcap="flat"/>
                </v:shape>
              </w:pict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pBdr>
                <w:bottom w:val="single" w:sz="4" w:space="1" w:color="00000A"/>
              </w:pBdr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  <w:pict>
                <v:shape id="shape_0" fillcolor="#0066cc" stroked="t" style="position:absolute;margin-left:16.55pt;margin-top:5.5pt;width:479.75pt;height:23.75pt" type="shapetype_136">
                  <v:path textpathok="t"/>
                  <v:textpath on="t" fitshape="t" string="ИЛЬИНСКИЙ МУНИЦИПАЛЬНЫЙ РАЙОН" style="font-family:&quot;Times New Roman&quot;"/>
                  <w10:wrap type="none"/>
                  <v:fill o:detectmouseclick="t" type="solid" color2="#ff9933"/>
                  <v:stroke color="#99ccff" weight="19080" joinstyle="miter" endcap="flat"/>
                </v:shape>
              </w:pict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outline/>
                <w:shadow/>
                <w:color w:val="0033CC"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outline/>
                <w:shadow/>
                <w:color w:val="0033CC"/>
                <w:sz w:val="40"/>
                <w:szCs w:val="40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outline/>
                <w:shadow/>
                <w:color w:val="0033CC"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outline/>
                <w:shadow/>
                <w:color w:val="0033CC"/>
                <w:sz w:val="40"/>
                <w:szCs w:val="40"/>
              </w:rPr>
              <w:t>Ивановской области</w:t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outline/>
                <w:shadow/>
                <w:color w:val="0033CC"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outline/>
                <w:shadow/>
                <w:color w:val="0033CC"/>
                <w:sz w:val="40"/>
                <w:szCs w:val="40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outline/>
                <w:shadow/>
                <w:color w:val="0033CC"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outline/>
                <w:shadow/>
                <w:color w:val="0033CC"/>
                <w:sz w:val="40"/>
                <w:szCs w:val="40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outline/>
                <w:shadow/>
                <w:color w:val="0033CC"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outline/>
                <w:shadow/>
                <w:color w:val="0033CC"/>
                <w:sz w:val="40"/>
                <w:szCs w:val="40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outline/>
                <w:shadow/>
                <w:color w:val="0033CC"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outline/>
                <w:shadow/>
                <w:color w:val="0033CC"/>
                <w:sz w:val="40"/>
                <w:szCs w:val="40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outline/>
                <w:shadow/>
                <w:color w:val="0033CC"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outline/>
                <w:shadow/>
                <w:color w:val="0033CC"/>
                <w:sz w:val="40"/>
                <w:szCs w:val="40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outline/>
                <w:shadow/>
                <w:color w:val="0033CC"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outline/>
                <w:shadow/>
                <w:color w:val="0033CC"/>
                <w:sz w:val="40"/>
                <w:szCs w:val="40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outline/>
                <w:shadow/>
                <w:color w:val="0033CC"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outline/>
                <w:shadow/>
                <w:color w:val="0033CC"/>
                <w:sz w:val="40"/>
                <w:szCs w:val="40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/>
            </w:pPr>
            <w:r>
              <w:rPr>
                <w:rFonts w:cs="Bookman Old Style" w:ascii="Bookman Old Style" w:hAnsi="Bookman Old Style"/>
                <w:b/>
                <w:bCs/>
                <w:outline/>
                <w:shadow/>
                <w:color w:val="0033CC"/>
                <w:sz w:val="40"/>
                <w:szCs w:val="40"/>
              </w:rPr>
              <w:t>20</w:t>
            </w:r>
            <w:r>
              <w:rPr>
                <w:rFonts w:cs="Bookman Old Style" w:ascii="Bookman Old Style" w:hAnsi="Bookman Old Style"/>
                <w:b/>
                <w:bCs/>
                <w:outline/>
                <w:shadow/>
                <w:color w:val="0033CC"/>
                <w:sz w:val="40"/>
                <w:szCs w:val="40"/>
                <w:lang w:val="en-US"/>
              </w:rPr>
              <w:t>20</w:t>
            </w:r>
            <w:r>
              <w:rPr>
                <w:rFonts w:cs="Bookman Old Style" w:ascii="Bookman Old Style" w:hAnsi="Bookman Old Style"/>
                <w:b/>
                <w:bCs/>
                <w:outline/>
                <w:shadow/>
                <w:color w:val="0033CC"/>
                <w:sz w:val="40"/>
                <w:szCs w:val="40"/>
              </w:rPr>
              <w:t xml:space="preserve"> ГОД</w:t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8"/>
                <w:szCs w:val="48"/>
              </w:rPr>
            </w:pPr>
            <w:r>
              <w:rPr>
                <w:rFonts w:cs="Bookman Old Style" w:ascii="Bookman Old Style" w:hAnsi="Bookman Old Style"/>
                <w:b/>
                <w:bCs/>
                <w:sz w:val="48"/>
                <w:szCs w:val="48"/>
              </w:rPr>
            </w:r>
          </w:p>
        </w:tc>
      </w:tr>
    </w:tbl>
    <w:p>
      <w:pPr>
        <w:pStyle w:val="Normal"/>
        <w:pBdr>
          <w:left w:val="single" w:sz="4" w:space="1" w:color="00000A"/>
          <w:bottom w:val="single" w:sz="4" w:space="1" w:color="00000A"/>
        </w:pBdr>
        <w:shd w:val="clear" w:fill="F2F2F2"/>
        <w:ind w:left="0" w:right="-83" w:hanging="0"/>
        <w:jc w:val="center"/>
        <w:rPr>
          <w:rFonts w:ascii="Arial" w:hAnsi="Arial" w:cs="Arial"/>
          <w:b/>
          <w:b/>
          <w:bCs/>
          <w:outline/>
          <w:shadow/>
          <w:spacing w:val="20"/>
          <w:sz w:val="28"/>
          <w:szCs w:val="28"/>
        </w:rPr>
      </w:pPr>
      <w:r>
        <w:br w:type="page"/>
      </w:r>
      <w:r>
        <w:rPr>
          <w:rFonts w:cs="Arial" w:ascii="Arial" w:hAnsi="Arial"/>
          <w:b/>
          <w:bCs/>
          <w:outline/>
          <w:shadow/>
          <w:spacing w:val="20"/>
          <w:sz w:val="28"/>
          <w:szCs w:val="28"/>
        </w:rPr>
        <w:t>ИНВЕСТИЦИОННЫЙ ПАСПОРТ</w:t>
      </w:r>
    </w:p>
    <w:p>
      <w:pPr>
        <w:pStyle w:val="Normal"/>
        <w:pBdr>
          <w:left w:val="single" w:sz="4" w:space="1" w:color="00000A"/>
          <w:bottom w:val="single" w:sz="4" w:space="1" w:color="00000A"/>
        </w:pBdr>
        <w:shd w:val="clear" w:fill="F2F2F2"/>
        <w:ind w:left="0" w:right="-83" w:hanging="0"/>
        <w:jc w:val="center"/>
        <w:rPr/>
      </w:pPr>
      <w:r>
        <w:rPr>
          <w:rFonts w:cs="Arial" w:ascii="Arial" w:hAnsi="Arial"/>
          <w:b/>
          <w:bCs/>
          <w:outline/>
          <w:shadow/>
          <w:spacing w:val="20"/>
          <w:sz w:val="28"/>
          <w:szCs w:val="28"/>
        </w:rPr>
        <w:t>ИЛЬИНСКОГО МУНИЦИПАЛЬНОГО РАЙОНА</w:t>
      </w:r>
    </w:p>
    <w:p>
      <w:pPr>
        <w:pStyle w:val="Normal"/>
        <w:pBdr>
          <w:left w:val="single" w:sz="4" w:space="1" w:color="00000A"/>
          <w:bottom w:val="single" w:sz="4" w:space="1" w:color="00000A"/>
        </w:pBdr>
        <w:shd w:val="clear" w:fill="F2F2F2"/>
        <w:ind w:left="0" w:right="-83" w:hanging="0"/>
        <w:jc w:val="center"/>
        <w:rPr/>
      </w:pPr>
      <w:r>
        <w:rPr>
          <w:rFonts w:cs="Arial" w:ascii="Arial" w:hAnsi="Arial"/>
          <w:b/>
          <w:bCs/>
          <w:outline/>
          <w:shadow/>
          <w:spacing w:val="20"/>
          <w:sz w:val="28"/>
          <w:szCs w:val="28"/>
        </w:rPr>
        <w:t>на 01.01.2021г.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center"/>
        <w:rPr>
          <w:rFonts w:ascii="Bookman Old Style" w:hAnsi="Bookman Old Style" w:cs="Bookman Old Style"/>
          <w:i/>
          <w:i/>
          <w:iCs/>
          <w:sz w:val="24"/>
          <w:szCs w:val="24"/>
        </w:rPr>
      </w:pPr>
      <w:r>
        <w:rPr>
          <w:rFonts w:cs="Bookman Old Style" w:ascii="Bookman Old Style" w:hAnsi="Bookman Old Style"/>
          <w:i/>
          <w:iCs/>
          <w:sz w:val="24"/>
          <w:szCs w:val="24"/>
        </w:rPr>
        <w:t>(городского округа, муниципального района)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center"/>
        <w:rPr>
          <w:rFonts w:ascii="Bookman Old Style" w:hAnsi="Bookman Old Style" w:cs="Bookman Old Style"/>
          <w:b/>
          <w:b/>
          <w:bCs/>
          <w:color w:val="365F91"/>
          <w:sz w:val="24"/>
          <w:szCs w:val="24"/>
          <w:u w:val="single"/>
        </w:rPr>
      </w:pPr>
      <w:r>
        <w:rPr>
          <w:rFonts w:cs="Bookman Old Style" w:ascii="Bookman Old Style" w:hAnsi="Bookman Old Style"/>
          <w:b/>
          <w:bCs/>
          <w:color w:val="365F91"/>
          <w:sz w:val="24"/>
          <w:szCs w:val="24"/>
          <w:u w:val="single"/>
        </w:rPr>
        <w:t>1. ОБЩАЯ ХАРАКТЕРИСТИКА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1.1.Наименование муниципального образования </w:t>
      </w:r>
      <w:r>
        <w:rPr>
          <w:rFonts w:cs="Bookman Old Style" w:ascii="Bookman Old Style" w:hAnsi="Bookman Old Style"/>
          <w:sz w:val="24"/>
          <w:szCs w:val="24"/>
        </w:rPr>
        <w:t>- Ильинский муниципальный район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31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>1.2.Центр муниципального образования</w:t>
      </w:r>
      <w:r>
        <w:rPr>
          <w:rFonts w:cs="Bookman Old Style" w:ascii="Bookman Old Style" w:hAnsi="Bookman Old Style"/>
          <w:sz w:val="24"/>
          <w:szCs w:val="24"/>
        </w:rPr>
        <w:t xml:space="preserve"> - п. Ильинское-Хованское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31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1.3.Глава Ильинского муниципального района(ФИО) </w:t>
      </w:r>
      <w:r>
        <w:rPr>
          <w:rFonts w:cs="Bookman Old Style" w:ascii="Bookman Old Style" w:hAnsi="Bookman Old Style"/>
          <w:sz w:val="24"/>
          <w:szCs w:val="24"/>
        </w:rPr>
        <w:t>– Васютинский Сергей Иванович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1.4.Ответственный от администрации по инвестиционной политике (ФИО) </w:t>
      </w:r>
      <w:r>
        <w:rPr>
          <w:rFonts w:cs="Bookman Old Style" w:ascii="Bookman Old Style" w:hAnsi="Bookman Old Style"/>
          <w:sz w:val="24"/>
          <w:szCs w:val="24"/>
        </w:rPr>
        <w:t>– Ефремов Сергей Михайлович, заместитель главы администрации Ильинского муниципального района, начальник отдела экономики и муниципального хозяйства.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>1.5.</w:t>
      </w:r>
      <w:r>
        <w:rPr>
          <w:rFonts w:cs="Bookman Old Style" w:ascii="Bookman Old Style" w:hAnsi="Bookman Old Style"/>
          <w:b/>
          <w:bCs/>
          <w:spacing w:val="-6"/>
          <w:sz w:val="24"/>
          <w:szCs w:val="24"/>
        </w:rPr>
        <w:t>Контактная информация (почтовый адрес, телефон, факс, электронная почта, адрес представительства в сети Интернет, официальное печатное издание)</w:t>
      </w: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 </w:t>
      </w:r>
      <w:r>
        <w:rPr>
          <w:rFonts w:cs="Bookman Old Style" w:ascii="Bookman Old Style" w:hAnsi="Bookman Old Style"/>
          <w:sz w:val="24"/>
          <w:szCs w:val="24"/>
        </w:rPr>
        <w:t xml:space="preserve">- </w:t>
      </w:r>
      <w:r>
        <w:rPr>
          <w:rFonts w:cs="Bookman Old Style" w:ascii="Bookman Old Style" w:hAnsi="Bookman Old Style"/>
          <w:spacing w:val="-6"/>
          <w:sz w:val="24"/>
          <w:szCs w:val="24"/>
        </w:rPr>
        <w:t>155060 Ивановская обл., п. Ильинское-Хованское, ул. Советская, д. 2, тел./факс: (49353) 2-18-01, 2-14-09 / 2-14-01</w:t>
      </w:r>
      <w:r>
        <w:rPr>
          <w:rFonts w:cs="Bookman Old Style" w:ascii="Bookman Old Style" w:hAnsi="Bookman Old Style"/>
          <w:sz w:val="24"/>
          <w:szCs w:val="24"/>
        </w:rPr>
        <w:t xml:space="preserve">,  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pacing w:val="-6"/>
          <w:sz w:val="24"/>
          <w:szCs w:val="24"/>
        </w:rPr>
        <w:t>электронная почта</w:t>
      </w:r>
      <w:r>
        <w:rPr>
          <w:rFonts w:cs="Bookman Old Style" w:ascii="Bookman Old Style" w:hAnsi="Bookman Old Style"/>
          <w:sz w:val="24"/>
          <w:szCs w:val="24"/>
        </w:rPr>
        <w:t xml:space="preserve">: </w:t>
      </w:r>
      <w:hyperlink r:id="rId3">
        <w:r>
          <w:rPr>
            <w:rStyle w:val="Style12"/>
            <w:rFonts w:cs="Bookman Old Style" w:ascii="Bookman Old Style" w:hAnsi="Bookman Old Style"/>
            <w:b/>
            <w:bCs/>
            <w:i/>
            <w:iCs/>
            <w:color w:val="00000A"/>
            <w:sz w:val="24"/>
            <w:szCs w:val="24"/>
            <w:lang w:val="en-US"/>
          </w:rPr>
          <w:t>i</w:t>
        </w:r>
      </w:hyperlink>
      <w:r>
        <w:rPr>
          <w:rStyle w:val="Style12"/>
          <w:rFonts w:cs="Bookman Old Style" w:ascii="Bookman Old Style" w:hAnsi="Bookman Old Style"/>
          <w:b/>
          <w:bCs/>
          <w:i/>
          <w:iCs/>
          <w:color w:val="00000A"/>
          <w:sz w:val="24"/>
          <w:szCs w:val="24"/>
          <w:lang w:val="en-US"/>
        </w:rPr>
        <w:t>lin</w:t>
      </w:r>
      <w:hyperlink r:id="rId4">
        <w:r>
          <w:rPr>
            <w:rStyle w:val="Style12"/>
            <w:rFonts w:cs="Bookman Old Style" w:ascii="Bookman Old Style" w:hAnsi="Bookman Old Style"/>
            <w:b/>
            <w:bCs/>
            <w:i/>
            <w:iCs/>
            <w:color w:val="00000A"/>
            <w:sz w:val="24"/>
            <w:szCs w:val="24"/>
          </w:rPr>
          <w:t>@</w:t>
        </w:r>
      </w:hyperlink>
      <w:hyperlink r:id="rId5">
        <w:r>
          <w:rPr>
            <w:rStyle w:val="Style12"/>
            <w:rFonts w:cs="Bookman Old Style" w:ascii="Bookman Old Style" w:hAnsi="Bookman Old Style"/>
            <w:b/>
            <w:bCs/>
            <w:i/>
            <w:iCs/>
            <w:color w:val="00000A"/>
            <w:sz w:val="24"/>
            <w:szCs w:val="24"/>
            <w:lang w:val="en-US"/>
          </w:rPr>
          <w:t>admilinskoe</w:t>
        </w:r>
      </w:hyperlink>
      <w:hyperlink r:id="rId6">
        <w:r>
          <w:rPr>
            <w:rStyle w:val="Style12"/>
            <w:rFonts w:cs="Bookman Old Style" w:ascii="Bookman Old Style" w:hAnsi="Bookman Old Style"/>
            <w:b/>
            <w:bCs/>
            <w:i/>
            <w:iCs/>
            <w:color w:val="00000A"/>
            <w:sz w:val="24"/>
            <w:szCs w:val="24"/>
          </w:rPr>
          <w:t>.</w:t>
        </w:r>
      </w:hyperlink>
      <w:hyperlink r:id="rId7">
        <w:r>
          <w:rPr>
            <w:rStyle w:val="Style12"/>
            <w:rFonts w:cs="Bookman Old Style" w:ascii="Bookman Old Style" w:hAnsi="Bookman Old Style"/>
            <w:b/>
            <w:bCs/>
            <w:i/>
            <w:iCs/>
            <w:color w:val="00000A"/>
            <w:sz w:val="24"/>
            <w:szCs w:val="24"/>
            <w:lang w:val="en-US"/>
          </w:rPr>
          <w:t>ru</w:t>
        </w:r>
      </w:hyperlink>
      <w:r>
        <w:rPr>
          <w:rFonts w:cs="Bookman Old Style" w:ascii="Bookman Old Style" w:hAnsi="Bookman Old Style"/>
        </w:rPr>
        <w:t xml:space="preserve">, </w:t>
      </w:r>
      <w:r>
        <w:rPr>
          <w:rFonts w:cs="Bookman Old Style" w:ascii="Bookman Old Style" w:hAnsi="Bookman Old Style"/>
          <w:b/>
          <w:bCs/>
          <w:i/>
          <w:iCs/>
          <w:sz w:val="24"/>
          <w:szCs w:val="24"/>
          <w:u w:val="single"/>
          <w:lang w:val="en-US"/>
        </w:rPr>
        <w:t>upravlenie_</w:t>
      </w:r>
      <w:r>
        <w:rPr>
          <w:rFonts w:cs="Bookman Old Style" w:ascii="Bookman Old Style" w:hAnsi="Bookman Old Style"/>
          <w:b/>
          <w:bCs/>
          <w:i/>
          <w:iCs/>
          <w:sz w:val="24"/>
          <w:szCs w:val="24"/>
          <w:u w:val="single"/>
        </w:rPr>
        <w:t>2014@mail.</w:t>
      </w:r>
      <w:r>
        <w:rPr>
          <w:rFonts w:cs="Bookman Old Style" w:ascii="Bookman Old Style" w:hAnsi="Bookman Old Style"/>
          <w:b/>
          <w:bCs/>
          <w:i/>
          <w:iCs/>
          <w:sz w:val="24"/>
          <w:szCs w:val="24"/>
          <w:u w:val="single"/>
          <w:lang w:val="en-US"/>
        </w:rPr>
        <w:t>ru</w:t>
      </w:r>
      <w:r>
        <w:rPr>
          <w:rFonts w:cs="Bookman Old Style" w:ascii="Bookman Old Style" w:hAnsi="Bookman Old Style"/>
          <w:sz w:val="24"/>
          <w:szCs w:val="24"/>
        </w:rPr>
        <w:t xml:space="preserve">, 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официальный сайт: </w:t>
      </w:r>
      <w:hyperlink r:id="rId8">
        <w:r>
          <w:rPr>
            <w:rStyle w:val="Style12"/>
            <w:rFonts w:cs="Bookman Old Style" w:ascii="Bookman Old Style" w:hAnsi="Bookman Old Style"/>
            <w:b/>
            <w:bCs/>
            <w:i/>
            <w:iCs/>
            <w:color w:val="00000A"/>
            <w:sz w:val="24"/>
            <w:szCs w:val="24"/>
            <w:lang w:val="en-US"/>
          </w:rPr>
          <w:t>www</w:t>
        </w:r>
      </w:hyperlink>
      <w:hyperlink r:id="rId9">
        <w:r>
          <w:rPr>
            <w:rStyle w:val="Style12"/>
            <w:rFonts w:cs="Bookman Old Style" w:ascii="Bookman Old Style" w:hAnsi="Bookman Old Style"/>
            <w:b/>
            <w:bCs/>
            <w:i/>
            <w:iCs/>
            <w:color w:val="00000A"/>
            <w:sz w:val="24"/>
            <w:szCs w:val="24"/>
          </w:rPr>
          <w:t>.</w:t>
        </w:r>
      </w:hyperlink>
      <w:hyperlink r:id="rId10">
        <w:r>
          <w:rPr>
            <w:rStyle w:val="Style12"/>
            <w:rFonts w:cs="Bookman Old Style" w:ascii="Bookman Old Style" w:hAnsi="Bookman Old Style"/>
            <w:b/>
            <w:bCs/>
            <w:i/>
            <w:iCs/>
            <w:color w:val="00000A"/>
            <w:sz w:val="24"/>
            <w:szCs w:val="24"/>
            <w:lang w:val="en-US"/>
          </w:rPr>
          <w:t>admilinskoe</w:t>
        </w:r>
      </w:hyperlink>
      <w:hyperlink r:id="rId11">
        <w:r>
          <w:rPr>
            <w:rStyle w:val="Style12"/>
            <w:rFonts w:cs="Bookman Old Style" w:ascii="Bookman Old Style" w:hAnsi="Bookman Old Style"/>
            <w:b/>
            <w:bCs/>
            <w:i/>
            <w:iCs/>
            <w:color w:val="00000A"/>
            <w:sz w:val="24"/>
            <w:szCs w:val="24"/>
          </w:rPr>
          <w:t>.</w:t>
        </w:r>
      </w:hyperlink>
      <w:hyperlink r:id="rId12">
        <w:r>
          <w:rPr>
            <w:rStyle w:val="Style12"/>
            <w:rFonts w:cs="Bookman Old Style" w:ascii="Bookman Old Style" w:hAnsi="Bookman Old Style"/>
            <w:b/>
            <w:bCs/>
            <w:i/>
            <w:iCs/>
            <w:color w:val="00000A"/>
            <w:sz w:val="24"/>
            <w:szCs w:val="24"/>
            <w:lang w:val="en-US"/>
          </w:rPr>
          <w:t>ru</w:t>
        </w:r>
      </w:hyperlink>
      <w:r>
        <w:rPr>
          <w:rFonts w:cs="Bookman Old Style" w:ascii="Bookman Old Style" w:hAnsi="Bookman Old Style"/>
          <w:sz w:val="24"/>
          <w:szCs w:val="24"/>
        </w:rPr>
        <w:t xml:space="preserve">, 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официальное печатное издание – газета «</w:t>
      </w:r>
      <w:r>
        <w:rPr>
          <w:rFonts w:cs="Bookman Old Style" w:ascii="Bookman Old Style" w:hAnsi="Bookman Old Style"/>
          <w:b/>
          <w:bCs/>
          <w:sz w:val="24"/>
          <w:szCs w:val="24"/>
        </w:rPr>
        <w:t>Звезда</w:t>
      </w:r>
      <w:r>
        <w:rPr>
          <w:rFonts w:cs="Bookman Old Style" w:ascii="Bookman Old Style" w:hAnsi="Bookman Old Style"/>
          <w:sz w:val="24"/>
          <w:szCs w:val="24"/>
        </w:rPr>
        <w:t>».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22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1.6.Географическая характеристика </w:t>
      </w:r>
      <w:r>
        <w:rPr>
          <w:rFonts w:cs="Bookman Old Style" w:ascii="Bookman Old Style" w:hAnsi="Bookman Old Style"/>
          <w:sz w:val="24"/>
          <w:szCs w:val="24"/>
        </w:rPr>
        <w:t>- Ильинский муниципальный район расположен в центральной полосе России и граничит с севера  и северо-запада с Ярославской областью, с юга – с Владимирской, с юго-востока  и востока – с Гаврилово-Посадским, Тейковским и Комсомольским районами Ивановской области. Равнинная местность пересекается реками Сухода, Лахость, Сахта, Ухтома, Нерль. Имеются лесные массивы. Природные ресурсы представлены запасами гравия, песка, глины.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22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22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>1.7.Общая площадь территории</w:t>
      </w:r>
      <w:r>
        <w:rPr>
          <w:rFonts w:cs="Bookman Old Style" w:ascii="Bookman Old Style" w:hAnsi="Bookman Old Style"/>
          <w:sz w:val="24"/>
          <w:szCs w:val="24"/>
        </w:rPr>
        <w:t>: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1.7.1.Общая площадь территории (тыс.га) - 140,009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37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1.7.2.Площадь застроенных земель (тыс.га) - </w:t>
      </w:r>
      <w:r>
        <w:rPr>
          <w:rFonts w:cs="Bookman Old Style" w:ascii="Bookman Old Style" w:hAnsi="Bookman Old Style"/>
          <w:color w:val="000000"/>
          <w:sz w:val="24"/>
          <w:szCs w:val="24"/>
        </w:rPr>
        <w:t>1,096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37" w:leader="none"/>
          <w:tab w:val="left" w:pos="6521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1.7.3.Незастроенные территории, всего (тыс.га) - </w:t>
      </w:r>
      <w:r>
        <w:rPr>
          <w:rFonts w:cs="Bookman Old Style" w:ascii="Bookman Old Style" w:hAnsi="Bookman Old Style"/>
          <w:color w:val="000000"/>
          <w:sz w:val="24"/>
          <w:szCs w:val="24"/>
        </w:rPr>
        <w:t>8,876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37" w:leader="none"/>
          <w:tab w:val="left" w:pos="6521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1.7.4.Сельскохозяйственные угодья (тыс.га) - </w:t>
      </w:r>
      <w:r>
        <w:rPr>
          <w:rFonts w:cs="Bookman Old Style" w:ascii="Bookman Old Style" w:hAnsi="Bookman Old Style"/>
          <w:color w:val="000000"/>
          <w:sz w:val="24"/>
          <w:szCs w:val="24"/>
        </w:rPr>
        <w:t>7,1108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1.7.5.Лесные земли (тыс.га) - </w:t>
      </w:r>
      <w:r>
        <w:rPr>
          <w:rFonts w:cs="Bookman Old Style" w:ascii="Bookman Old Style" w:hAnsi="Bookman Old Style"/>
          <w:color w:val="000000"/>
          <w:sz w:val="24"/>
          <w:szCs w:val="24"/>
        </w:rPr>
        <w:t>5,2715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1.7.6.Площади под древесно-кустарниковой растительностью, не входящие в лесной фонд (тыс.га) - 5,179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1.7.7.Водоемы (тыс.га) - 1,035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1.7.8.Водные объекты (название)- реки Сухода, Лахость, Сахта, Ухтома, Нерль.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1.7.9.Земли особо охраняемых территорий (тыс.га) — нет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1.8.Наличие месторождений общераспространенных полезных ископаемых (наименование)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вид ресурса и его запасы - гравий, песок, глина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1.8.1.Запас ресурса (млн.куб.м.) – 2,195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1.9.-1.13.Население и трудовые ресурсы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1.9.Количество населенных пунктов (ед.) </w:t>
      </w:r>
      <w:r>
        <w:rPr>
          <w:rFonts w:cs="Bookman Old Style" w:ascii="Bookman Old Style" w:hAnsi="Bookman Old Style"/>
          <w:sz w:val="24"/>
          <w:szCs w:val="24"/>
        </w:rPr>
        <w:t xml:space="preserve">- 157 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36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1.10.Численность постоянного населения </w:t>
      </w:r>
      <w:r>
        <w:rPr>
          <w:rFonts w:cs="Bookman Old Style" w:ascii="Bookman Old Style" w:hAnsi="Bookman Old Style"/>
          <w:sz w:val="24"/>
          <w:szCs w:val="24"/>
        </w:rPr>
        <w:t>(на 01.01.2021 г.)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36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1.10.1.Всего (тыс. чел.) – 7,902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90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1.10.2.Численность городского населения (тыс. чел.) - 2,821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90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1.10.3.Численность сельского населения (тыс. чел.) - 5,081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90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1.10.4.Плотность населения (чел./кв.км.) – 5,64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90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90" w:leader="none"/>
        </w:tabs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1.11.Демографическая ситуация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1.11.1.Доля жителей младше трудоспособного возраста (%) – 13,4 % (по состоянию на 01.01.2020)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80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1.11.2.Доля жителей в трудоспособном возрасте (%) – 50,9% (по состоянию на 01.01.2020)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80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1.11.3.Доля жителей старше трудоспособного возраста (%) – 35,7 % (по состоянию на 01.01.2020)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80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1.11.4.Доля мужчин в населении (%) – 46,6 % (по состоянию на 01.01.2020)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36" w:leader="none"/>
        </w:tabs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1.12.Численность населения в трудоспособном возрасте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36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1.12.1.всего (тыс.чел.) – 4,054 (по состоянию на 01.01.2020)  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36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1.12.2.численность безработных, всего (чел.) – 188 (4,6%)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36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36" w:leader="none"/>
        </w:tabs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1.13.Доходы населения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1.13.1.Среднемесячная заработная плата (тыс. руб.) – 25,673(за  2020 г.)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1.13.2.Численность населения с денежными доходами ниже величины прожиточного минимума (%) – 26 (в среднем по области)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1.14.Общая экологическая ситуация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1.14.1.наличие объектов катастрофической опасности (ед.) - нет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46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1.14.2.содержание загрязняющих веществ в воде (мг/куб. м.) - нет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46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1.14.3.загрязнение почвы химическими элементами (мг/кг) - нет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1.14.4.количество отходов, образуемых на предприятиях, всего (тонн/год) — </w:t>
      </w:r>
      <w:r>
        <w:rPr>
          <w:rFonts w:cs="Bookman Old Style" w:ascii="Bookman Old Style" w:hAnsi="Bookman Old Style"/>
          <w:color w:val="000000"/>
          <w:sz w:val="24"/>
          <w:szCs w:val="24"/>
        </w:rPr>
        <w:t>н.д.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22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1.14.5.токсичных (тонн/год) - нет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22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1.14.6.радиационный фон (Зиверт) – в норме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1.14.7.количество мест с превышением нормы радиационного фона (ед.) - нет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b/>
          <w:b/>
          <w:bCs/>
          <w:color w:val="FF0000"/>
          <w:sz w:val="24"/>
          <w:szCs w:val="24"/>
          <w:highlight w:val="yellow"/>
        </w:rPr>
      </w:pPr>
      <w:r>
        <w:rPr>
          <w:rFonts w:cs="Bookman Old Style" w:ascii="Bookman Old Style" w:hAnsi="Bookman Old Style"/>
          <w:b/>
          <w:bCs/>
          <w:color w:val="FF0000"/>
          <w:sz w:val="24"/>
          <w:szCs w:val="24"/>
          <w:highlight w:val="yellow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center"/>
        <w:rPr>
          <w:rFonts w:ascii="Bookman Old Style" w:hAnsi="Bookman Old Style" w:cs="Bookman Old Style"/>
          <w:b/>
          <w:b/>
          <w:bCs/>
          <w:color w:val="365F91"/>
          <w:sz w:val="24"/>
          <w:szCs w:val="24"/>
          <w:u w:val="single"/>
        </w:rPr>
      </w:pPr>
      <w:r>
        <w:rPr>
          <w:rFonts w:cs="Bookman Old Style" w:ascii="Bookman Old Style" w:hAnsi="Bookman Old Style"/>
          <w:b/>
          <w:bCs/>
          <w:color w:val="365F91"/>
          <w:sz w:val="24"/>
          <w:szCs w:val="24"/>
          <w:u w:val="single"/>
        </w:rPr>
        <w:t>2. ЭКОНОМИЧЕСКИЙ ПОТЕНЦИАЛ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74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>2.1.Основные виды экономической деятельности в промышленности</w:t>
      </w:r>
      <w:r>
        <w:rPr>
          <w:rFonts w:cs="Bookman Old Style" w:ascii="Bookman Old Style" w:hAnsi="Bookman Old Style"/>
          <w:sz w:val="24"/>
          <w:szCs w:val="24"/>
        </w:rPr>
        <w:t>- пищевая промышленность, обработка древесины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2.1.1.Отгружено промышленной продукции (млн.руб.) – 978,601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08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2.1.2.Промышленные (крупные и средние) предприятия района (ед.) – 1 ед.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08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ОАО «Аньковское» (производство сыров и сливочного масла).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08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2.1.3.Прирост объема продукции в промышленности — 13,4(%)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2.1.4.Перечень основных предприятий (Наименование предприятия, форма собственности, основной вид деятельности, почтовый адрес, ФИО руководителя, должность руководителя, телефон, факс, адрес электронной почты, виды выпускаемой продукции):</w:t>
      </w:r>
    </w:p>
    <w:p>
      <w:pPr>
        <w:pStyle w:val="Normal"/>
        <w:pBdr>
          <w:left w:val="single" w:sz="4" w:space="1" w:color="00000A"/>
        </w:pBdr>
        <w:ind w:left="0" w:right="-83" w:hanging="0"/>
        <w:jc w:val="both"/>
        <w:rPr>
          <w:rFonts w:ascii="Bookman Old Style" w:hAnsi="Bookman Old Style" w:cs="Bookman Old Style"/>
          <w:spacing w:val="-6"/>
          <w:sz w:val="24"/>
          <w:szCs w:val="24"/>
        </w:rPr>
      </w:pPr>
      <w:r>
        <w:rPr>
          <w:rFonts w:cs="Bookman Old Style" w:ascii="Bookman Old Style" w:hAnsi="Bookman Old Style"/>
          <w:spacing w:val="-6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 МУП РМПО ЖКХ Ильинского муниципального района, п. Ильинское, ул. Садовая, д.39,   содержание торговой площади, бани, водоснабжение директор – Морозов А.М., 2-12-45</w:t>
      </w:r>
    </w:p>
    <w:p>
      <w:pPr>
        <w:pStyle w:val="Normal"/>
        <w:pBdr>
          <w:left w:val="single" w:sz="4" w:space="1" w:color="00000A"/>
        </w:pBdr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2. МУП «ЖКХ (Ильинское) Ильинского муниципального района», п. Ильинское, ул. Советская, 85, водоснабжение и водоотведение, очистка сточных вод, директор – Денисенков Д.С., 2-17-37</w:t>
      </w:r>
    </w:p>
    <w:p>
      <w:pPr>
        <w:pStyle w:val="Normal"/>
        <w:pBdr>
          <w:left w:val="single" w:sz="4" w:space="1" w:color="00000A"/>
        </w:pBdr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 ООО «Ильинское ЖКХ», п. Ильинское, ул. Кооперативная, 3, содержание и ремонт жилфонда, директор – Журавлёва Г.В., 2-12-80</w:t>
      </w:r>
    </w:p>
    <w:p>
      <w:pPr>
        <w:pStyle w:val="Normal"/>
        <w:pBdr>
          <w:left w:val="single" w:sz="4" w:space="0" w:color="00000A"/>
        </w:pBdr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4. Ильинский производственный участок АО «Тейковское ПТС», централизованное теплоснабжение, начальник участка – Булыгин С.В., 2-16-81</w:t>
      </w:r>
    </w:p>
    <w:p>
      <w:pPr>
        <w:pStyle w:val="Normal"/>
        <w:pBdr>
          <w:left w:val="single" w:sz="4" w:space="0" w:color="00000A"/>
        </w:pBdr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5. МУП «Ильинское АТП», п. Ильинское, ул. Советская, д.83, перевозка пассажиров внутри района и междугородние рейсы, директор - Пшеничнов В.А., 2-17-93</w:t>
      </w:r>
    </w:p>
    <w:p>
      <w:pPr>
        <w:pStyle w:val="Normal"/>
        <w:pBdr>
          <w:left w:val="single" w:sz="4" w:space="0" w:color="00000A"/>
        </w:pBdr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6. ЗАО «Ильинское», п. Ильинское, ул. Советская, д.13, животноводство, растениеводство, директор — и.о. Меньшиков Н.М., 2-12-57</w:t>
      </w:r>
    </w:p>
    <w:p>
      <w:pPr>
        <w:pStyle w:val="Normal"/>
        <w:pBdr>
          <w:left w:val="single" w:sz="4" w:space="0" w:color="00000A"/>
        </w:pBdr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7. ЗАО «Гарское», с. Гари, животноводство, растениеводство, директор - Боталов В.Н., 2-53-17</w:t>
      </w:r>
    </w:p>
    <w:p>
      <w:pPr>
        <w:pStyle w:val="Normal"/>
        <w:pBdr>
          <w:left w:val="single" w:sz="4" w:space="0" w:color="00000A"/>
        </w:pBdr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8. ООО «Ильинское-Агро» группа компаний «Ермак», животноводство, генеральный директор – Двойных С.В., 2-63-10</w:t>
      </w:r>
    </w:p>
    <w:p>
      <w:pPr>
        <w:pStyle w:val="Normal"/>
        <w:pBdr>
          <w:left w:val="single" w:sz="4" w:space="0" w:color="00000A"/>
        </w:pBdr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9. ОАО «Аньковское», с. Аньково, производство сыра, сливочного масла, генеральный директор – Грязнова И.Л., 8-4932-93-28-20</w:t>
      </w:r>
    </w:p>
    <w:p>
      <w:pPr>
        <w:pStyle w:val="Normal"/>
        <w:pBdr>
          <w:left w:val="single" w:sz="4" w:space="0" w:color="00000A"/>
        </w:pBdr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10. ООО «Константиновский карьер», д. Никольское (г. Иваново, ул. Лакина, д.1), добыча гравия, песка, глины, директор – Хрипунов А.В., 8-920-345-36-10</w:t>
      </w:r>
    </w:p>
    <w:p>
      <w:pPr>
        <w:pStyle w:val="Normal"/>
        <w:pBdr>
          <w:left w:val="single" w:sz="4" w:space="0" w:color="00000A"/>
        </w:pBdr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11. ООО «Тейковская земельная компания», д. Петряйка (г. Иваново, ул. 11-й Проезд, д.7, оф.69), добыча гравия, песка, глины, начальник участка - директор – Гришанов А.Н., 38-43-79.</w:t>
      </w:r>
    </w:p>
    <w:p>
      <w:pPr>
        <w:pStyle w:val="Normal"/>
        <w:pBdr>
          <w:left w:val="single" w:sz="4" w:space="0" w:color="00000A"/>
        </w:pBdr>
        <w:ind w:left="0" w:right="-83" w:hanging="0"/>
        <w:jc w:val="both"/>
        <w:rPr/>
      </w:pPr>
      <w:r>
        <mc:AlternateContent>
          <mc:Choice Requires="wps">
            <w:drawing>
              <wp:anchor behindDoc="1" distT="0" distB="0" distL="114300" distR="114300" simplePos="0" locked="0" layoutInCell="1" allowOverlap="1" relativeHeight="2">
                <wp:simplePos x="0" y="0"/>
                <wp:positionH relativeFrom="column">
                  <wp:posOffset>-8890</wp:posOffset>
                </wp:positionH>
                <wp:positionV relativeFrom="paragraph">
                  <wp:posOffset>334010</wp:posOffset>
                </wp:positionV>
                <wp:extent cx="22860" cy="1470025"/>
                <wp:effectExtent l="0" t="0" r="0" b="0"/>
                <wp:wrapNone/>
                <wp:docPr id="4" name="Изображение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320" cy="146952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rFonts w:cs="Bookman Old Style" w:ascii="Bookman Old Style" w:hAnsi="Bookman Old Style"/>
          <w:sz w:val="24"/>
          <w:szCs w:val="24"/>
        </w:rPr>
        <w:t>12.ООО «ТорговоСтроительная компания с.Никольское (Московская область, Пушкинский район, с.Ельдигино,д.5), ген.директор — Паничкин Н.Н.</w:t>
      </w:r>
    </w:p>
    <w:p>
      <w:pPr>
        <w:pStyle w:val="Default"/>
        <w:rPr/>
      </w:pPr>
      <w:r>
        <w:rPr>
          <w:rFonts w:cs="Bookman Old Style" w:ascii="Bookman Old Style" w:hAnsi="Bookman Old Style"/>
        </w:rPr>
        <w:t>13. ООО «РЕББИТС», (</w:t>
      </w:r>
      <w:r>
        <w:rPr>
          <w:rFonts w:ascii="Bookman Old Style" w:hAnsi="Bookman Old Style"/>
          <w:color w:val="00000A"/>
          <w:highlight w:val="white"/>
        </w:rPr>
        <w:t>с. Ивашево, ул. Советская, д. 7</w:t>
      </w:r>
      <w:r>
        <w:rPr>
          <w:rFonts w:ascii="Bookman Old Style" w:hAnsi="Bookman Old Style"/>
          <w:highlight w:val="white"/>
        </w:rPr>
        <w:t>)</w:t>
      </w:r>
      <w:r>
        <w:rPr>
          <w:sz w:val="22"/>
          <w:szCs w:val="22"/>
        </w:rPr>
        <w:t xml:space="preserve"> </w:t>
      </w:r>
      <w:r>
        <w:rPr>
          <w:rFonts w:ascii="Bookman Old Style" w:hAnsi="Bookman Old Style"/>
        </w:rPr>
        <w:t xml:space="preserve">производство мяса кроликов, производство и реализации маточного поголовья, изготовление и реализация клеток для кроликов по технологии Михайлова, </w:t>
      </w:r>
      <w:r>
        <w:rPr>
          <w:rFonts w:ascii="Bookman Old Style" w:hAnsi="Bookman Old Style"/>
          <w:bCs/>
        </w:rPr>
        <w:t>Директор Ткаченко А.В. -</w:t>
      </w:r>
      <w:r>
        <w:rPr>
          <w:rFonts w:ascii="Bookman Old Style" w:hAnsi="Bookman Old Style"/>
          <w:color w:val="00000A"/>
          <w:highlight w:val="white"/>
        </w:rPr>
        <w:t>8-903-790-55-70</w:t>
      </w:r>
    </w:p>
    <w:p>
      <w:pPr>
        <w:pStyle w:val="Normal"/>
        <w:rPr/>
      </w:pPr>
      <w:r>
        <w:rPr>
          <w:rFonts w:ascii="Bookman Old Style" w:hAnsi="Bookman Old Style"/>
          <w:sz w:val="24"/>
          <w:szCs w:val="24"/>
        </w:rPr>
        <w:t>14.</w:t>
      </w:r>
      <w:r>
        <w:rPr>
          <w:rFonts w:cs="Bookman Old Style" w:ascii="Bookman Old Style" w:hAnsi="Bookman Old Style"/>
          <w:sz w:val="24"/>
          <w:szCs w:val="24"/>
        </w:rPr>
        <w:t xml:space="preserve"> ООО «РЕББИТ-ХОЛ», (</w:t>
      </w:r>
      <w:r>
        <w:rPr>
          <w:rFonts w:ascii="Bookman Old Style" w:hAnsi="Bookman Old Style"/>
          <w:sz w:val="24"/>
          <w:szCs w:val="24"/>
          <w:highlight w:val="white"/>
        </w:rPr>
        <w:t>с. Ивашево, ул. Советская, д. 7)</w:t>
      </w:r>
      <w:r>
        <w:rPr>
          <w:sz w:val="22"/>
          <w:szCs w:val="22"/>
        </w:rPr>
        <w:t xml:space="preserve"> </w:t>
      </w:r>
      <w:r>
        <w:rPr>
          <w:rFonts w:ascii="Bookman Old Style" w:hAnsi="Bookman Old Style"/>
          <w:sz w:val="24"/>
          <w:szCs w:val="24"/>
        </w:rPr>
        <w:t xml:space="preserve">производство мяса кроликов,  </w:t>
      </w:r>
      <w:r>
        <w:rPr>
          <w:rFonts w:ascii="Bookman Old Style" w:hAnsi="Bookman Old Style"/>
          <w:bCs/>
          <w:sz w:val="24"/>
          <w:szCs w:val="24"/>
        </w:rPr>
        <w:t>Директор Дорошенко А.М.</w:t>
      </w:r>
      <w:r>
        <w:rPr>
          <w:rFonts w:ascii="Bookman Old Style" w:hAnsi="Bookman Old Style"/>
          <w:bCs/>
        </w:rPr>
        <w:t xml:space="preserve"> </w:t>
      </w:r>
      <w:r>
        <w:rPr>
          <w:rFonts w:ascii="Bookman Old Style" w:hAnsi="Bookman Old Style"/>
          <w:bCs/>
          <w:sz w:val="24"/>
          <w:szCs w:val="24"/>
        </w:rPr>
        <w:t>-</w:t>
      </w:r>
      <w:r>
        <w:rPr>
          <w:rFonts w:ascii="Bookman Old Style" w:hAnsi="Bookman Old Style"/>
          <w:sz w:val="24"/>
          <w:szCs w:val="24"/>
          <w:highlight w:val="white"/>
        </w:rPr>
        <w:t>8-916-592-39-92</w:t>
      </w:r>
    </w:p>
    <w:p>
      <w:pPr>
        <w:pStyle w:val="Default"/>
        <w:rPr/>
      </w:pPr>
      <w:r>
        <w:rPr>
          <w:rFonts w:ascii="Bookman Old Style" w:hAnsi="Bookman Old Style"/>
          <w:highlight w:val="white"/>
        </w:rPr>
        <w:t xml:space="preserve">30. ООО «КФХ Кулачево», с. Кулачево </w:t>
      </w:r>
      <w:r>
        <w:rPr>
          <w:rFonts w:ascii="Bookman Old Style" w:hAnsi="Bookman Old Style"/>
          <w:color w:val="00000A"/>
          <w:highlight w:val="white"/>
        </w:rPr>
        <w:t>(Тейковский район, г. Тейково, ул. Матросова, д. 47/20</w:t>
      </w:r>
      <w:r>
        <w:rPr>
          <w:rFonts w:ascii="Bookman Old Style" w:hAnsi="Bookman Old Style"/>
          <w:highlight w:val="white"/>
        </w:rPr>
        <w:t xml:space="preserve">) </w:t>
      </w:r>
      <w:r>
        <w:rPr>
          <w:rFonts w:ascii="Bookman Old Style" w:hAnsi="Bookman Old Style"/>
          <w:color w:val="00000A"/>
        </w:rPr>
        <w:t>выращивани</w:t>
      </w:r>
      <w:r>
        <w:rPr>
          <w:rFonts w:ascii="Bookman Old Style" w:hAnsi="Bookman Old Style"/>
        </w:rPr>
        <w:t>е</w:t>
      </w:r>
      <w:r>
        <w:rPr>
          <w:rFonts w:ascii="Bookman Old Style" w:hAnsi="Bookman Old Style"/>
          <w:color w:val="00000A"/>
        </w:rPr>
        <w:t xml:space="preserve"> шампиньонов, овощей и зелени</w:t>
      </w:r>
      <w:r>
        <w:rPr>
          <w:rFonts w:ascii="Bookman Old Style" w:hAnsi="Bookman Old Style"/>
        </w:rPr>
        <w:t xml:space="preserve">, </w:t>
      </w:r>
      <w:r>
        <w:rPr>
          <w:rFonts w:ascii="Bookman Old Style" w:hAnsi="Bookman Old Style"/>
          <w:bCs/>
          <w:color w:val="00000A"/>
        </w:rPr>
        <w:t xml:space="preserve">Председатель Рак Виктор Иванович, </w:t>
      </w:r>
      <w:r>
        <w:rPr>
          <w:rFonts w:ascii="Bookman Old Style" w:hAnsi="Bookman Old Style"/>
          <w:color w:val="00000A"/>
          <w:highlight w:val="white"/>
        </w:rPr>
        <w:t>8-926-254-90-83</w:t>
      </w:r>
    </w:p>
    <w:p>
      <w:pPr>
        <w:pStyle w:val="Normal"/>
        <w:pBdr>
          <w:left w:val="single" w:sz="4" w:space="0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2.1.5.Отраслевая структура, % (легкая промышленность, пищевая, деревообрабатывающая, топливная, сельское хозяйство)- сельское хозяйство – 14,9 %,  промышленность – 74,3 %, здравоохранение — 4,7%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274" w:leader="none"/>
        </w:tabs>
        <w:ind w:left="0" w:right="-83" w:hanging="0"/>
        <w:jc w:val="both"/>
        <w:rPr>
          <w:b w:val="false"/>
          <w:b w:val="false"/>
          <w:bCs w:val="false"/>
          <w:color w:val="000000"/>
        </w:rPr>
      </w:pP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</w:rPr>
        <w:t>2.2.Основные виды экономической деятельности в сельском хозяйстве- растениеводство, животноводство.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274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</w:rPr>
        <w:t xml:space="preserve">2.2.1.Валовая продукция (млн.руб.) – </w:t>
      </w: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lang w:val="en-US"/>
        </w:rPr>
        <w:t>195,807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408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</w:rPr>
        <w:t>2.2.3.Продукция растениеводства (млн.руб.) – 7,943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408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</w:rPr>
        <w:t>2.2.4.Продукция животноводства (млн.руб.) – 149,326</w:t>
      </w:r>
    </w:p>
    <w:p>
      <w:pPr>
        <w:pStyle w:val="Normal"/>
        <w:pBdr>
          <w:left w:val="single" w:sz="4" w:space="0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</w:rPr>
        <w:t>2.2.5.Количество сельскохозяйственных предприятий (ед.) - 7</w:t>
      </w:r>
    </w:p>
    <w:p>
      <w:pPr>
        <w:pStyle w:val="Normal"/>
        <w:pBdr>
          <w:left w:val="single" w:sz="4" w:space="0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</w:rPr>
        <w:t>2.2.6.Количество фермерских хозяйств (ед.) - 2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274" w:leader="none"/>
        </w:tabs>
        <w:ind w:left="0" w:right="-83" w:hanging="0"/>
        <w:jc w:val="both"/>
        <w:rPr>
          <w:rFonts w:ascii="Bookman Old Style" w:hAnsi="Bookman Old Style" w:cs="Bookman Old Style"/>
          <w:b/>
          <w:b/>
          <w:bCs/>
          <w:color w:val="800000"/>
          <w:sz w:val="24"/>
          <w:szCs w:val="24"/>
        </w:rPr>
      </w:pP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</w:rPr>
        <w:t>2.3.Структура посевных площадей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274" w:leader="none"/>
        </w:tabs>
        <w:ind w:left="0" w:right="-83" w:hanging="0"/>
        <w:jc w:val="both"/>
        <w:rPr>
          <w:b w:val="false"/>
          <w:b w:val="false"/>
          <w:bCs w:val="false"/>
          <w:color w:val="000000"/>
        </w:rPr>
      </w:pP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</w:rPr>
        <w:t>2.3.1.Зерновые культуры (тыс. га.) – 1,443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403" w:leader="none"/>
        </w:tabs>
        <w:ind w:left="0" w:right="-83" w:hanging="0"/>
        <w:jc w:val="both"/>
        <w:rPr>
          <w:rFonts w:ascii="Bookman Old Style" w:hAnsi="Bookman Old Style" w:cs="Bookman Old Style"/>
          <w:color w:val="800000"/>
          <w:sz w:val="24"/>
          <w:szCs w:val="24"/>
        </w:rPr>
      </w:pP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</w:rPr>
        <w:t>2.3.2.Картофель (тыс. га.) – нет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403" w:leader="none"/>
        </w:tabs>
        <w:ind w:left="0" w:right="-83" w:hanging="0"/>
        <w:jc w:val="both"/>
        <w:rPr>
          <w:rFonts w:ascii="Bookman Old Style" w:hAnsi="Bookman Old Style" w:cs="Bookman Old Style"/>
          <w:color w:val="800000"/>
          <w:sz w:val="24"/>
          <w:szCs w:val="24"/>
        </w:rPr>
      </w:pP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</w:rPr>
        <w:t>2.3.3.Овощи (тыс. га.) - нет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274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</w:rPr>
        <w:t>2.3.4.Многолетние травы, клевер, однолетние травы (тыс. га.) – 5,572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274" w:leader="none"/>
        </w:tabs>
        <w:ind w:left="0" w:right="-83" w:hanging="0"/>
        <w:jc w:val="both"/>
        <w:rPr>
          <w:rFonts w:ascii="Bookman Old Style" w:hAnsi="Bookman Old Style" w:cs="Bookman Old Style"/>
          <w:b w:val="false"/>
          <w:b w:val="false"/>
          <w:bCs w:val="false"/>
          <w:color w:val="000000"/>
          <w:sz w:val="24"/>
          <w:szCs w:val="24"/>
        </w:rPr>
      </w:pP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</w:rPr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274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2.4.Инвестиции в основной капитал, всего (млн.руб.) </w:t>
      </w:r>
      <w:r>
        <w:rPr>
          <w:rFonts w:cs="Bookman Old Style" w:ascii="Bookman Old Style" w:hAnsi="Bookman Old Style"/>
          <w:sz w:val="24"/>
          <w:szCs w:val="24"/>
        </w:rPr>
        <w:t>– 49,383( за 2020г.)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408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2.4.1.Жилища (млн.руб.) – 0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408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2.4.2.Здания (кроме жилых) и сооружения (млн.руб.) – 29,036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408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2.4.3.Машины, оборудование, транспортные средства (млн.руб.) – 19,982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408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2.4.4.Прочие инвестиции (млн.руб.) – 0,365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408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274" w:leader="none"/>
        </w:tabs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2.5.Занятость населения и трудовые ресурсы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274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2.5.1.Численность трудовых ресурсов (тыс.чел.) – 4,7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403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2.5.2.Численность занятых в экономике всего (тыс.чел.) – 3,600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403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2.5.3.</w:t>
      </w:r>
      <w:r>
        <w:rPr>
          <w:rFonts w:cs="Bookman Old Style" w:ascii="Bookman Old Style" w:hAnsi="Bookman Old Style"/>
          <w:spacing w:val="-4"/>
          <w:sz w:val="24"/>
          <w:szCs w:val="24"/>
        </w:rPr>
        <w:t>Численность работников предприятий и организаций всего (тыс.чел.) – 1,6</w:t>
      </w:r>
    </w:p>
    <w:p>
      <w:pPr>
        <w:pStyle w:val="Normal"/>
        <w:pBdr>
          <w:left w:val="single" w:sz="4" w:space="0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2.5.4.Численность работников предприятий и организаций бюджетной сферы (тыс. чел.) – 0,553</w:t>
      </w:r>
    </w:p>
    <w:p>
      <w:pPr>
        <w:pStyle w:val="Normal"/>
        <w:pBdr>
          <w:left w:val="single" w:sz="4" w:space="0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274" w:leader="none"/>
        </w:tabs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2.6.Малое предпринимательство</w:t>
      </w:r>
    </w:p>
    <w:p>
      <w:pPr>
        <w:pStyle w:val="Normal"/>
        <w:pBdr>
          <w:left w:val="single" w:sz="4" w:space="0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2.6.1.Количество малых предприятий (ед.) - 31</w:t>
      </w:r>
    </w:p>
    <w:p>
      <w:pPr>
        <w:pStyle w:val="Normal"/>
        <w:pBdr>
          <w:left w:val="single" w:sz="4" w:space="0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2.6.2.Количество индивидуальных  предпринимателей (ед.) – 157</w:t>
      </w:r>
    </w:p>
    <w:p>
      <w:pPr>
        <w:pStyle w:val="Normal"/>
        <w:pBdr>
          <w:left w:val="single" w:sz="4" w:space="0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mallCaps/>
          <w:sz w:val="24"/>
          <w:szCs w:val="24"/>
        </w:rPr>
        <w:t>2.6.3.</w:t>
      </w:r>
      <w:r>
        <w:rPr>
          <w:rFonts w:cs="Bookman Old Style" w:ascii="Bookman Old Style" w:hAnsi="Bookman Old Style"/>
          <w:sz w:val="24"/>
          <w:szCs w:val="24"/>
        </w:rPr>
        <w:t>Доля занятых в малом предпринимательстве в общей численности занятых (%) – 47%</w:t>
      </w:r>
    </w:p>
    <w:p>
      <w:pPr>
        <w:pStyle w:val="Normal"/>
        <w:pBdr>
          <w:left w:val="single" w:sz="4" w:space="0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2.6.4.Количество малых  предприятий по отраслям экономики (в промышленности, строительстве, торговле и общественном питании, другое)- платные услуги – 35 %, торговля – 35 %, промышленность – 30 %.</w:t>
      </w:r>
    </w:p>
    <w:p>
      <w:pPr>
        <w:pStyle w:val="Normal"/>
        <w:pBdr>
          <w:left w:val="single" w:sz="4" w:space="0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2.7.Общий объем розничного товарооборота, включая общественное питание (млн.руб.) </w:t>
      </w:r>
      <w:r>
        <w:rPr>
          <w:rFonts w:cs="Bookman Old Style" w:ascii="Bookman Old Style" w:hAnsi="Bookman Old Style"/>
          <w:sz w:val="24"/>
          <w:szCs w:val="24"/>
        </w:rPr>
        <w:t>– 253,252</w:t>
      </w:r>
    </w:p>
    <w:p>
      <w:pPr>
        <w:pStyle w:val="Normal"/>
        <w:pBdr>
          <w:left w:val="single" w:sz="4" w:space="0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302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2.8.Общий объем реализации платных услуг населению (млн.руб.) </w:t>
      </w:r>
      <w:r>
        <w:rPr>
          <w:rFonts w:cs="Bookman Old Style" w:ascii="Bookman Old Style" w:hAnsi="Bookman Old Style"/>
          <w:sz w:val="24"/>
          <w:szCs w:val="24"/>
        </w:rPr>
        <w:t xml:space="preserve">– </w:t>
      </w:r>
      <w:r>
        <w:rPr>
          <w:rFonts w:cs="Bookman Old Style" w:ascii="Bookman Old Style" w:hAnsi="Bookman Old Style"/>
          <w:i w:val="false"/>
          <w:iCs w:val="false"/>
          <w:sz w:val="24"/>
          <w:szCs w:val="24"/>
          <w:lang w:val="en-US"/>
        </w:rPr>
        <w:t>79,092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302" w:leader="none"/>
        </w:tabs>
        <w:ind w:left="0" w:right="-83" w:hanging="0"/>
        <w:jc w:val="both"/>
        <w:rPr>
          <w:rFonts w:ascii="Bookman Old Style" w:hAnsi="Bookman Old Style" w:cs="Bookman Old Style"/>
          <w:i w:val="false"/>
          <w:i w:val="false"/>
          <w:iCs w:val="false"/>
          <w:sz w:val="24"/>
          <w:szCs w:val="24"/>
          <w:lang w:val="en-US"/>
        </w:rPr>
      </w:pPr>
      <w:r>
        <w:rPr>
          <w:rFonts w:cs="Bookman Old Style" w:ascii="Bookman Old Style" w:hAnsi="Bookman Old Style"/>
          <w:i w:val="false"/>
          <w:iCs w:val="false"/>
          <w:sz w:val="24"/>
          <w:szCs w:val="24"/>
          <w:lang w:val="en-US"/>
        </w:rPr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302" w:leader="none"/>
        </w:tabs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2.9.Торговля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418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2.9.1.Количество организаций розничной торговли (магазины, палатки) на 1000 жителей (число организаций на 1000 жителей) – </w:t>
      </w:r>
      <w:r>
        <w:rPr>
          <w:rFonts w:cs="Bookman Old Style" w:ascii="Bookman Old Style" w:hAnsi="Bookman Old Style"/>
          <w:color w:val="000000"/>
          <w:sz w:val="24"/>
          <w:szCs w:val="24"/>
        </w:rPr>
        <w:t>8,</w:t>
      </w:r>
      <w:r>
        <w:rPr>
          <w:rFonts w:cs="Bookman Old Style" w:ascii="Bookman Old Style" w:hAnsi="Bookman Old Style"/>
          <w:color w:val="000000"/>
          <w:sz w:val="24"/>
          <w:szCs w:val="24"/>
        </w:rPr>
        <w:t>1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418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2.9.2.Количество торговых мест на вещевых, смешанных и продовольственных рынках на 1000 жителей (ед.): – 10,1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418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322" w:leader="none"/>
        </w:tabs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2.10.Транспортные услуги</w:t>
      </w:r>
    </w:p>
    <w:p>
      <w:pPr>
        <w:pStyle w:val="Normal"/>
        <w:pBdr>
          <w:left w:val="single" w:sz="4" w:space="0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2.10.1.Установленный тариф на 1 поездку на пассажирском транспорте по внутригородскому, пригородному и междугороднему маршрутам, (руб.) - 2,34 (с 01.01.2016).</w:t>
      </w:r>
    </w:p>
    <w:p>
      <w:pPr>
        <w:pStyle w:val="Normal"/>
        <w:pBdr>
          <w:left w:val="single" w:sz="4" w:space="0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color w:val="800000"/>
          <w:sz w:val="24"/>
          <w:szCs w:val="24"/>
        </w:rPr>
      </w:pPr>
      <w:r>
        <w:rPr>
          <w:rFonts w:cs="Bookman Old Style" w:ascii="Bookman Old Style" w:hAnsi="Bookman Old Style"/>
          <w:color w:val="800000"/>
          <w:sz w:val="24"/>
          <w:szCs w:val="24"/>
        </w:rPr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322" w:leader="none"/>
        </w:tabs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2.11.Жилье и его доступность</w:t>
      </w:r>
    </w:p>
    <w:p>
      <w:pPr>
        <w:pStyle w:val="Normal"/>
        <w:pBdr>
          <w:left w:val="single" w:sz="4" w:space="0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2.11.1.Обеспеченность жильём (кв. м. на 1 жителя) – </w:t>
      </w:r>
      <w:r>
        <w:rPr>
          <w:rFonts w:cs="Bookman Old Style" w:ascii="Bookman Old Style" w:hAnsi="Bookman Old Style"/>
          <w:sz w:val="24"/>
          <w:szCs w:val="24"/>
          <w:lang w:val="en-US"/>
        </w:rPr>
        <w:t>38,0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552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2.11.2.Ввод нового жилья (кв. м. на 1000 жителей) – </w:t>
      </w:r>
      <w:r>
        <w:rPr>
          <w:rFonts w:cs="Bookman Old Style" w:ascii="Bookman Old Style" w:hAnsi="Bookman Old Style"/>
          <w:sz w:val="24"/>
          <w:szCs w:val="24"/>
          <w:lang w:val="en-US"/>
        </w:rPr>
        <w:t>172,9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552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color w:val="000000"/>
          <w:sz w:val="24"/>
          <w:szCs w:val="24"/>
        </w:rPr>
        <w:t>2.11.3.Среднерыночная стоимость 1 кв.м. жилья — 30,0 тыс.руб.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552" w:leader="none"/>
        </w:tabs>
        <w:ind w:left="0" w:right="-83" w:hanging="0"/>
        <w:jc w:val="both"/>
        <w:rPr>
          <w:rFonts w:ascii="Bookman Old Style" w:hAnsi="Bookman Old Style" w:cs="Bookman Old Style"/>
          <w:color w:val="800000"/>
          <w:sz w:val="24"/>
          <w:szCs w:val="24"/>
        </w:rPr>
      </w:pPr>
      <w:r>
        <w:rPr>
          <w:rFonts w:cs="Bookman Old Style" w:ascii="Bookman Old Style" w:hAnsi="Bookman Old Style"/>
          <w:color w:val="800000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18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  <w:t>2.14.Потребление газа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color w:val="000000"/>
          <w:sz w:val="24"/>
          <w:szCs w:val="24"/>
        </w:rPr>
        <w:t xml:space="preserve">2.14.1.за год (куб. м.) – </w:t>
      </w:r>
      <w:r>
        <w:rPr>
          <w:rFonts w:cs="Bookman Old Style" w:ascii="Bookman Old Style" w:hAnsi="Bookman Old Style"/>
          <w:color w:val="000000"/>
          <w:sz w:val="24"/>
          <w:szCs w:val="24"/>
          <w:lang w:val="en-US"/>
        </w:rPr>
        <w:t>7745855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color w:val="000000"/>
          <w:sz w:val="24"/>
          <w:szCs w:val="24"/>
        </w:rPr>
        <w:t xml:space="preserve">2.14.2.за сутки (куб. м.) - </w:t>
      </w:r>
      <w:r>
        <w:rPr>
          <w:rFonts w:cs="Bookman Old Style" w:ascii="Bookman Old Style" w:hAnsi="Bookman Old Style"/>
          <w:color w:val="000000"/>
          <w:sz w:val="24"/>
          <w:szCs w:val="24"/>
          <w:lang w:val="en-US"/>
        </w:rPr>
        <w:t>21222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187" w:leader="none"/>
        </w:tabs>
        <w:ind w:left="0" w:right="-83" w:hanging="0"/>
        <w:jc w:val="both"/>
        <w:rPr>
          <w:rFonts w:ascii="Bookman Old Style" w:hAnsi="Bookman Old Style" w:cs="Bookman Old Style"/>
          <w:b/>
          <w:b/>
          <w:bCs/>
          <w:color w:val="000000"/>
          <w:sz w:val="24"/>
          <w:szCs w:val="24"/>
        </w:rPr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  <w:t xml:space="preserve">2.15.Потребление воды (куб. м.) </w:t>
      </w:r>
      <w:r>
        <w:rPr>
          <w:rFonts w:cs="Bookman Old Style" w:ascii="Bookman Old Style" w:hAnsi="Bookman Old Style"/>
          <w:color w:val="000000"/>
          <w:sz w:val="24"/>
          <w:szCs w:val="24"/>
        </w:rPr>
        <w:t>– н.д.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b/>
          <w:b/>
          <w:bCs/>
          <w:color w:val="000000"/>
          <w:sz w:val="24"/>
          <w:szCs w:val="24"/>
        </w:rPr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98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  <w:t xml:space="preserve">2.16.Потребление тепловой энергии (Гкал) – </w:t>
      </w:r>
      <w:r>
        <w:rPr>
          <w:rFonts w:cs="Bookman Old Style" w:ascii="Bookman Old Style" w:hAnsi="Bookman Old Style"/>
          <w:b/>
          <w:bCs/>
          <w:color w:val="000000"/>
          <w:sz w:val="24"/>
          <w:szCs w:val="24"/>
          <w:lang w:val="en-US"/>
        </w:rPr>
        <w:t>5225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187" w:leader="none"/>
        </w:tabs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  <w:highlight w:val="yellow"/>
        </w:rPr>
      </w:pPr>
      <w:r>
        <w:rPr>
          <w:rFonts w:cs="Bookman Old Style" w:ascii="Bookman Old Style" w:hAnsi="Bookman Old Style"/>
          <w:b/>
          <w:bCs/>
          <w:sz w:val="24"/>
          <w:szCs w:val="24"/>
          <w:highlight w:val="yellow"/>
        </w:rPr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187" w:leader="none"/>
        </w:tabs>
        <w:ind w:left="0" w:right="-83" w:hanging="0"/>
        <w:jc w:val="center"/>
        <w:rPr>
          <w:rFonts w:ascii="Bookman Old Style" w:hAnsi="Bookman Old Style" w:cs="Bookman Old Style"/>
          <w:b/>
          <w:b/>
          <w:bCs/>
          <w:color w:val="365F91"/>
          <w:sz w:val="24"/>
          <w:szCs w:val="24"/>
          <w:u w:val="single"/>
        </w:rPr>
      </w:pPr>
      <w:r>
        <w:rPr>
          <w:rFonts w:cs="Bookman Old Style" w:ascii="Bookman Old Style" w:hAnsi="Bookman Old Style"/>
          <w:b/>
          <w:bCs/>
          <w:color w:val="365F91"/>
          <w:sz w:val="24"/>
          <w:szCs w:val="24"/>
          <w:u w:val="single"/>
        </w:rPr>
        <w:t>3. ИНФРАСТРУКТУРА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02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>3.1.Наименования основных транспортных магистралей</w:t>
      </w:r>
      <w:r>
        <w:rPr>
          <w:rFonts w:cs="Bookman Old Style" w:ascii="Bookman Old Style" w:hAnsi="Bookman Old Style"/>
          <w:sz w:val="24"/>
          <w:szCs w:val="24"/>
        </w:rPr>
        <w:t>: Ростов – Иваново – Нижний Новгород (38,7 км на территории района)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3.1.1.</w:t>
      </w:r>
      <w:r>
        <w:rPr>
          <w:rFonts w:cs="Bookman Old Style" w:ascii="Bookman Old Style" w:hAnsi="Bookman Old Style"/>
          <w:spacing w:val="-6"/>
          <w:sz w:val="24"/>
          <w:szCs w:val="24"/>
        </w:rPr>
        <w:t xml:space="preserve">протяженность автомобильных дорог общего пользования местного значения (км.) – 251,5 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3.1.2.протяженность автомобильных дорог с твердым покрытием (км.) - 107,9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02" w:leader="none"/>
        </w:tabs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3.2.Железнодорожный транспорт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02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3.2.1.наличие грузовых ж/д станций (ед.) - нет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02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3.2.2.наименование станций — нет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02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02" w:leader="none"/>
        </w:tabs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3.3.Связь и телекоммуникации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3.3.1.наименования организаций, предоставляющих услуги мобильной связи – </w:t>
      </w:r>
      <w:r>
        <w:rPr>
          <w:rFonts w:cs="Bookman Old Style" w:ascii="Bookman Old Style" w:hAnsi="Bookman Old Style"/>
          <w:sz w:val="24"/>
          <w:szCs w:val="24"/>
          <w:lang w:val="en-US"/>
        </w:rPr>
        <w:t>Beeline</w:t>
      </w:r>
      <w:r>
        <w:rPr>
          <w:rFonts w:cs="Bookman Old Style" w:ascii="Bookman Old Style" w:hAnsi="Bookman Old Style"/>
          <w:sz w:val="24"/>
          <w:szCs w:val="24"/>
        </w:rPr>
        <w:t xml:space="preserve">, </w:t>
      </w:r>
      <w:r>
        <w:rPr>
          <w:rFonts w:cs="Bookman Old Style" w:ascii="Bookman Old Style" w:hAnsi="Bookman Old Style"/>
          <w:sz w:val="24"/>
          <w:szCs w:val="24"/>
          <w:lang w:val="en-US"/>
        </w:rPr>
        <w:t>MTS</w:t>
      </w:r>
      <w:r>
        <w:rPr>
          <w:rFonts w:cs="Bookman Old Style" w:ascii="Bookman Old Style" w:hAnsi="Bookman Old Style"/>
          <w:sz w:val="24"/>
          <w:szCs w:val="24"/>
        </w:rPr>
        <w:t xml:space="preserve">, </w:t>
      </w:r>
      <w:r>
        <w:rPr>
          <w:rFonts w:cs="Bookman Old Style" w:ascii="Bookman Old Style" w:hAnsi="Bookman Old Style"/>
          <w:sz w:val="24"/>
          <w:szCs w:val="24"/>
          <w:lang w:val="en-US"/>
        </w:rPr>
        <w:t>MegaFon</w:t>
      </w:r>
      <w:r>
        <w:rPr>
          <w:rFonts w:cs="Bookman Old Style" w:ascii="Bookman Old Style" w:hAnsi="Bookman Old Style"/>
          <w:sz w:val="24"/>
          <w:szCs w:val="24"/>
        </w:rPr>
        <w:t>.</w:t>
      </w:r>
      <w:r>
        <w:rPr>
          <w:rFonts w:cs="Bookman Old Style" w:ascii="Bookman Old Style" w:hAnsi="Bookman Old Style"/>
          <w:sz w:val="24"/>
          <w:szCs w:val="24"/>
          <w:lang w:val="en-US"/>
        </w:rPr>
        <w:t>Tele-2</w:t>
      </w:r>
    </w:p>
    <w:p>
      <w:pPr>
        <w:pStyle w:val="Normal"/>
        <w:pBdr>
          <w:left w:val="single" w:sz="4" w:space="1" w:color="00000A"/>
        </w:pBdr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3.3.2.наименование организаций, предоставляющих услуги доступа в Интернет - ЛТУ  п. Ильинское МЦТЭТ г. Тейково Ивановский филиал ОАО «Ростелеком»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509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>3</w:t>
      </w:r>
      <w:r>
        <w:rPr>
          <w:rFonts w:cs="Bookman Old Style" w:ascii="Bookman Old Style" w:hAnsi="Bookman Old Style"/>
          <w:b/>
          <w:bCs/>
          <w:i/>
          <w:iCs/>
          <w:sz w:val="24"/>
          <w:szCs w:val="24"/>
        </w:rPr>
        <w:t>.</w:t>
      </w:r>
      <w:r>
        <w:rPr>
          <w:rFonts w:cs="Bookman Old Style" w:ascii="Bookman Old Style" w:hAnsi="Bookman Old Style"/>
          <w:b/>
          <w:bCs/>
          <w:sz w:val="24"/>
          <w:szCs w:val="24"/>
        </w:rPr>
        <w:t>4.Финансовые организации (включая филиалы)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3.4.1.количество банков (ед.) - 2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3.4.2.</w:t>
      </w:r>
      <w:r>
        <w:rPr>
          <w:rFonts w:cs="Bookman Old Style" w:ascii="Bookman Old Style" w:hAnsi="Bookman Old Style"/>
          <w:spacing w:val="-6"/>
          <w:sz w:val="24"/>
          <w:szCs w:val="24"/>
        </w:rPr>
        <w:t xml:space="preserve">название банков </w:t>
      </w:r>
      <w:r>
        <w:rPr>
          <w:rFonts w:cs="Bookman Old Style" w:ascii="Bookman Old Style" w:hAnsi="Bookman Old Style"/>
          <w:sz w:val="24"/>
          <w:szCs w:val="24"/>
        </w:rPr>
        <w:t>– Ивановское ОСБ РФ (доп. офис № 8639/051); Ивановский региональный филиал АО «Россельхозбанк» (доп. Офис)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69" w:leader="none"/>
        </w:tabs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3.5.Страховые компании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3.5.1.количество страховых компаний (ед) - 1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 xml:space="preserve">3.5.2.название страховых компаний – ООО «Росгосстрах» Филиал ООО «Росгосстрах» в Ивановской области» Страховой отдел в п. Ильинское. 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69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>3.6.Муниципальная нежилая недвижимость и землепользование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69" w:leader="none"/>
        </w:tabs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69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3.6.1.Наличие реестра муниципальной нежилой недвижимости (да/нет) - да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94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3.6.2.</w:t>
      </w:r>
      <w:r>
        <w:rPr>
          <w:rFonts w:cs="Bookman Old Style" w:ascii="Bookman Old Style" w:hAnsi="Bookman Old Style"/>
          <w:spacing w:val="-6"/>
          <w:sz w:val="24"/>
          <w:szCs w:val="24"/>
        </w:rPr>
        <w:t>Наличие концепции управления муниципальной недвижимостью (да/нет) - да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61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3.7 Культурно - просветительное обслуживание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3.7.1.</w:t>
      </w:r>
      <w:r>
        <w:rPr>
          <w:rFonts w:cs="Bookman Old Style" w:ascii="Bookman Old Style" w:hAnsi="Bookman Old Style"/>
          <w:color w:val="000000"/>
          <w:sz w:val="24"/>
          <w:szCs w:val="24"/>
        </w:rPr>
        <w:t>Число работающих объектов культурно-просветительного обслуживания на 1000 жителей (число объектов на 1000 жителей) – 3,04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74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3.7.2.Обеспеченность учреждениями культурно-досугового типа (учреждений на 100000 жителей) – 151,86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74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3.7.3.Обеспеченность общедоступными библиотеками (учреждений на 100000 жителей) – </w:t>
      </w:r>
      <w:r>
        <w:rPr>
          <w:rFonts w:cs="Bookman Old Style" w:ascii="Bookman Old Style" w:hAnsi="Bookman Old Style"/>
          <w:sz w:val="24"/>
          <w:szCs w:val="24"/>
          <w:lang w:val="en-US"/>
        </w:rPr>
        <w:t>139,2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90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color w:val="000000"/>
          <w:sz w:val="24"/>
          <w:szCs w:val="24"/>
        </w:rPr>
        <w:t xml:space="preserve">3.7.4.Количество спортивно-оздоровительных учреждений (бассейнов, лыжных баз и т.д.) на 10000 жителей (тыс.кв.м.): залами – </w:t>
      </w:r>
      <w:r>
        <w:rPr>
          <w:rFonts w:cs="Bookman Old Style" w:ascii="Bookman Old Style" w:hAnsi="Bookman Old Style"/>
          <w:color w:val="000000"/>
          <w:sz w:val="24"/>
          <w:szCs w:val="24"/>
          <w:lang w:val="en-US"/>
        </w:rPr>
        <w:t>0,</w:t>
      </w:r>
      <w:r>
        <w:rPr>
          <w:rFonts w:cs="Bookman Old Style" w:ascii="Bookman Old Style" w:hAnsi="Bookman Old Style"/>
          <w:color w:val="000000"/>
          <w:sz w:val="24"/>
          <w:szCs w:val="24"/>
          <w:lang w:val="ru-RU"/>
        </w:rPr>
        <w:t>78</w:t>
      </w:r>
      <w:r>
        <w:rPr>
          <w:rFonts w:cs="Bookman Old Style" w:ascii="Bookman Old Style" w:hAnsi="Bookman Old Style"/>
          <w:color w:val="000000"/>
          <w:sz w:val="24"/>
          <w:szCs w:val="24"/>
        </w:rPr>
        <w:t>; плоскостными сооружениями – 18,65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90" w:leader="none"/>
        </w:tabs>
        <w:ind w:left="0" w:right="-83" w:hanging="0"/>
        <w:jc w:val="both"/>
        <w:rPr>
          <w:rFonts w:ascii="Bookman Old Style" w:hAnsi="Bookman Old Style" w:cs="Bookman Old Style"/>
          <w:color w:val="000000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b/>
          <w:b/>
          <w:bCs/>
          <w:color w:val="800000"/>
          <w:sz w:val="24"/>
          <w:szCs w:val="24"/>
        </w:rPr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  <w:t>3.8.Социальная защита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color w:val="000000"/>
          <w:sz w:val="24"/>
          <w:szCs w:val="24"/>
        </w:rPr>
        <w:t>3.8.1.Бюджетная обеспеченность по разделу «Социальная политика» на душу населения (руб.) 768,75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85" w:leader="none"/>
        </w:tabs>
        <w:ind w:left="0" w:right="-83" w:hanging="0"/>
        <w:jc w:val="both"/>
        <w:rPr>
          <w:color w:val="000000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 xml:space="preserve">3.8.2.Доля малоимущих  граждан, зарегистрированных в органах социальной защиты населения от всех жителей (%) – </w:t>
      </w:r>
      <w:r>
        <w:rPr>
          <w:rFonts w:cs="Bookman Old Style" w:ascii="Bookman Old Style" w:hAnsi="Bookman Old Style"/>
          <w:color w:val="000000"/>
          <w:sz w:val="24"/>
          <w:szCs w:val="24"/>
          <w:lang w:val="en-US"/>
        </w:rPr>
        <w:t>26</w:t>
      </w:r>
      <w:r>
        <w:rPr>
          <w:rFonts w:cs="Bookman Old Style" w:ascii="Bookman Old Style" w:hAnsi="Bookman Old Style"/>
          <w:color w:val="000000"/>
          <w:sz w:val="24"/>
          <w:szCs w:val="24"/>
        </w:rPr>
        <w:t>%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08" w:leader="none"/>
        </w:tabs>
        <w:ind w:left="0" w:right="-83" w:hanging="0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3.9.Здравоохранение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3.9.1.Обеспеченность населения местами в больницах для стационарного лечения (коек на тыс. жителей) – </w:t>
      </w:r>
      <w:r>
        <w:rPr>
          <w:rFonts w:cs="Bookman Old Style" w:ascii="Bookman Old Style" w:hAnsi="Bookman Old Style"/>
          <w:sz w:val="24"/>
          <w:szCs w:val="24"/>
          <w:lang w:val="ru-RU"/>
        </w:rPr>
        <w:t>3,3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562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3.9.2.Обеспеченность населения услугами амбулаторно-клинических учреждений (посещений в смену на тыс. жителей) – </w:t>
      </w:r>
      <w:r>
        <w:rPr>
          <w:rFonts w:cs="Bookman Old Style" w:ascii="Bookman Old Style" w:hAnsi="Bookman Old Style"/>
          <w:sz w:val="24"/>
          <w:szCs w:val="24"/>
          <w:lang w:val="ru-RU"/>
        </w:rPr>
        <w:t>13,65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08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3.9.3.Численность врачей на тысячу человек (ед.) - </w:t>
      </w:r>
      <w:r>
        <w:rPr>
          <w:rFonts w:cs="Bookman Old Style" w:ascii="Bookman Old Style" w:hAnsi="Bookman Old Style"/>
          <w:sz w:val="24"/>
          <w:szCs w:val="24"/>
          <w:lang w:val="en-US"/>
        </w:rPr>
        <w:t>1,6</w:t>
      </w:r>
      <w:r>
        <w:rPr>
          <w:rFonts w:cs="Bookman Old Style" w:ascii="Bookman Old Style" w:hAnsi="Bookman Old Style"/>
          <w:sz w:val="24"/>
          <w:szCs w:val="24"/>
          <w:lang w:val="ru-RU"/>
        </w:rPr>
        <w:t>5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3.9.4.</w:t>
      </w:r>
      <w:r>
        <w:rPr>
          <w:rFonts w:cs="Bookman Old Style" w:ascii="Bookman Old Style" w:hAnsi="Bookman Old Style"/>
          <w:spacing w:val="-6"/>
          <w:sz w:val="24"/>
          <w:szCs w:val="24"/>
        </w:rPr>
        <w:t>Численность среднего медицинского персонала на тысячу человек (ед.) – 5,</w:t>
      </w:r>
      <w:r>
        <w:rPr>
          <w:rFonts w:cs="Bookman Old Style" w:ascii="Bookman Old Style" w:hAnsi="Bookman Old Style"/>
          <w:spacing w:val="-6"/>
          <w:sz w:val="24"/>
          <w:szCs w:val="24"/>
          <w:lang w:val="en-US"/>
        </w:rPr>
        <w:t>6</w:t>
      </w:r>
      <w:r>
        <w:rPr>
          <w:rFonts w:cs="Bookman Old Style" w:ascii="Bookman Old Style" w:hAnsi="Bookman Old Style"/>
          <w:spacing w:val="-6"/>
          <w:sz w:val="24"/>
          <w:szCs w:val="24"/>
          <w:lang w:val="ru-RU"/>
        </w:rPr>
        <w:t>9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3.10.Образование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3.10.1.Количество детских садов, школ, учреждений профессионально-технического образования, высших учебных заведений: 2 средних общеобразовательных школы, 1 основная </w:t>
      </w:r>
      <w:r>
        <w:rPr>
          <w:rFonts w:cs="Bookman Old Style" w:ascii="Bookman Old Style" w:hAnsi="Bookman Old Style"/>
          <w:sz w:val="24"/>
          <w:szCs w:val="24"/>
          <w:lang w:val="en-US"/>
        </w:rPr>
        <w:t>общеобразовательн</w:t>
      </w:r>
      <w:r>
        <w:rPr>
          <w:rFonts w:cs="Bookman Old Style" w:ascii="Bookman Old Style" w:hAnsi="Bookman Old Style"/>
          <w:sz w:val="24"/>
          <w:szCs w:val="24"/>
          <w:lang w:val="ru-RU"/>
        </w:rPr>
        <w:t>ая</w:t>
      </w:r>
      <w:r>
        <w:rPr>
          <w:rFonts w:cs="Bookman Old Style" w:ascii="Bookman Old Style" w:hAnsi="Bookman Old Style"/>
          <w:sz w:val="24"/>
          <w:szCs w:val="24"/>
        </w:rPr>
        <w:t xml:space="preserve"> школа, 1 начальная общеобразовательная школа, 2 детских сада.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60" w:leader="none"/>
        </w:tabs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3.11.Рынок жилья: гостиницы, общежития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3.11.1.Перечень основных гостиниц и общежитий – нет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3.11.2.Введено в эксплуатацию жилья за год (тыс.кв.м. общей площади) – </w:t>
      </w:r>
      <w:r>
        <w:rPr>
          <w:rFonts w:cs="Bookman Old Style" w:ascii="Bookman Old Style" w:hAnsi="Bookman Old Style"/>
          <w:sz w:val="24"/>
          <w:szCs w:val="24"/>
          <w:lang w:val="en-US"/>
        </w:rPr>
        <w:t>1,372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center"/>
        <w:rPr>
          <w:rFonts w:ascii="Bookman Old Style" w:hAnsi="Bookman Old Style" w:cs="Bookman Old Style"/>
          <w:b/>
          <w:b/>
          <w:bCs/>
          <w:sz w:val="24"/>
          <w:szCs w:val="24"/>
          <w:highlight w:val="yellow"/>
        </w:rPr>
      </w:pPr>
      <w:r>
        <w:rPr>
          <w:rFonts w:cs="Bookman Old Style" w:ascii="Bookman Old Style" w:hAnsi="Bookman Old Style"/>
          <w:b/>
          <w:bCs/>
          <w:sz w:val="24"/>
          <w:szCs w:val="24"/>
          <w:highlight w:val="yellow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center"/>
        <w:rPr/>
      </w:pPr>
      <w:r>
        <w:rPr>
          <w:rFonts w:cs="Bookman Old Style" w:ascii="Bookman Old Style" w:hAnsi="Bookman Old Style"/>
          <w:b/>
          <w:bCs/>
          <w:color w:val="365F91"/>
          <w:sz w:val="24"/>
          <w:szCs w:val="24"/>
          <w:u w:val="single"/>
        </w:rPr>
        <w:t>4. ОБЩИЕ ДАННЫЕ ДЛЯ РАСЧЕТОВ И ОБОСНОВАНИЙ</w:t>
      </w:r>
    </w:p>
    <w:p>
      <w:pPr>
        <w:pStyle w:val="Normal"/>
        <w:jc w:val="both"/>
        <w:rPr>
          <w:rFonts w:ascii="Bookman Old Style" w:hAnsi="Bookman Old Style" w:cs="Bookman Old Style"/>
          <w:b/>
          <w:b/>
          <w:bCs/>
          <w:color w:val="365F91"/>
          <w:sz w:val="24"/>
          <w:szCs w:val="24"/>
          <w:u w:val="single"/>
        </w:rPr>
      </w:pPr>
      <w:r>
        <w:rPr>
          <w:rFonts w:cs="Bookman Old Style" w:ascii="Bookman Old Style" w:hAnsi="Bookman Old Style"/>
          <w:b/>
          <w:bCs/>
          <w:color w:val="365F91"/>
          <w:sz w:val="24"/>
          <w:szCs w:val="24"/>
          <w:u w:val="single"/>
        </w:rPr>
      </w:r>
    </w:p>
    <w:p>
      <w:pPr>
        <w:pStyle w:val="Normal"/>
        <w:jc w:val="both"/>
        <w:rPr>
          <w:rFonts w:ascii="Times New Roman" w:hAnsi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4.1. </w:t>
      </w:r>
      <w:r>
        <w:rPr>
          <w:rFonts w:cs="Times New Roman"/>
          <w:b/>
          <w:bCs/>
          <w:sz w:val="24"/>
          <w:szCs w:val="24"/>
        </w:rPr>
        <w:t>Порядок исчисления и уплаты земельного налога:</w:t>
      </w:r>
      <w:r>
        <w:rPr>
          <w:rFonts w:cs="Times New Roman"/>
          <w:sz w:val="24"/>
          <w:szCs w:val="24"/>
        </w:rPr>
        <w:t xml:space="preserve"> устанавливается Решениями Советов городских и сельских поселений Ильинского муниципального района.</w:t>
      </w:r>
    </w:p>
    <w:p>
      <w:pPr>
        <w:pStyle w:val="Normal"/>
        <w:jc w:val="both"/>
        <w:rPr>
          <w:rFonts w:ascii="Times New Roman" w:hAnsi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4.2. </w:t>
      </w:r>
      <w:r>
        <w:rPr>
          <w:rFonts w:cs="Times New Roman"/>
          <w:b/>
          <w:bCs/>
          <w:sz w:val="24"/>
          <w:szCs w:val="24"/>
        </w:rPr>
        <w:t>Порядок определения арендной платы:</w:t>
      </w:r>
      <w:r>
        <w:rPr>
          <w:rFonts w:cs="Times New Roman"/>
          <w:b w:val="false"/>
          <w:bCs w:val="false"/>
          <w:sz w:val="24"/>
          <w:szCs w:val="24"/>
        </w:rPr>
        <w:t xml:space="preserve"> </w:t>
      </w:r>
      <w:r>
        <w:rPr>
          <w:rFonts w:cs="Times New Roman"/>
          <w:b w:val="false"/>
          <w:bCs w:val="false"/>
          <w:color w:val="000000"/>
          <w:spacing w:val="-4"/>
          <w:sz w:val="24"/>
          <w:szCs w:val="24"/>
          <w:u w:val="none"/>
        </w:rPr>
        <w:t xml:space="preserve">Постановление Правительства Ивановской области №225-п от 25.08.2008г.; </w:t>
      </w:r>
      <w:r>
        <w:rPr>
          <w:rFonts w:cs="Times New Roman"/>
          <w:b w:val="false"/>
          <w:bCs w:val="false"/>
          <w:color w:val="000000"/>
          <w:spacing w:val="-4"/>
          <w:sz w:val="24"/>
          <w:szCs w:val="24"/>
        </w:rPr>
        <w:t>Решение Совета Ильинского муниципального района № 136 от 30.03.2017 г</w:t>
      </w:r>
      <w:r>
        <w:rPr>
          <w:rFonts w:cs="Times New Roman"/>
          <w:b w:val="false"/>
          <w:bCs w:val="false"/>
          <w:color w:val="000000"/>
          <w:sz w:val="24"/>
          <w:szCs w:val="24"/>
        </w:rPr>
        <w:t>.</w:t>
      </w:r>
    </w:p>
    <w:p>
      <w:pPr>
        <w:pStyle w:val="Normal"/>
        <w:jc w:val="both"/>
        <w:rPr>
          <w:rFonts w:ascii="Times New Roman" w:hAnsi="Times New Roman"/>
          <w:sz w:val="24"/>
          <w:szCs w:val="24"/>
        </w:rPr>
      </w:pPr>
      <w:r>
        <w:rPr>
          <w:rFonts w:cs="Times New Roman"/>
          <w:b w:val="false"/>
          <w:bCs w:val="false"/>
          <w:color w:val="000000"/>
          <w:sz w:val="24"/>
          <w:szCs w:val="24"/>
        </w:rPr>
        <w:t xml:space="preserve">4.3. </w:t>
      </w:r>
      <w:r>
        <w:rPr>
          <w:rFonts w:cs="Times New Roman"/>
          <w:b/>
          <w:bCs/>
          <w:color w:val="000000"/>
          <w:sz w:val="24"/>
          <w:szCs w:val="24"/>
        </w:rPr>
        <w:t>Порядок предоставления земельных участков для строительства:</w:t>
      </w:r>
      <w:r>
        <w:rPr>
          <w:rFonts w:cs="Times New Roman"/>
          <w:b w:val="false"/>
          <w:bCs w:val="false"/>
          <w:color w:val="000000"/>
          <w:sz w:val="24"/>
          <w:szCs w:val="24"/>
        </w:rPr>
        <w:t xml:space="preserve"> в соответствии с Земельным Кодексом РФ.</w:t>
      </w:r>
    </w:p>
    <w:p>
      <w:pPr>
        <w:pStyle w:val="Normal"/>
        <w:jc w:val="both"/>
        <w:rPr>
          <w:rFonts w:ascii="Times New Roman" w:hAnsi="Times New Roman"/>
          <w:sz w:val="24"/>
          <w:szCs w:val="24"/>
        </w:rPr>
      </w:pPr>
      <w:r>
        <w:rPr>
          <w:rFonts w:cs="Times New Roman"/>
          <w:b w:val="false"/>
          <w:bCs w:val="false"/>
          <w:color w:val="000000"/>
          <w:sz w:val="24"/>
          <w:szCs w:val="24"/>
        </w:rPr>
        <w:t xml:space="preserve">4.4. </w:t>
      </w:r>
      <w:r>
        <w:rPr>
          <w:rFonts w:cs="Times New Roman"/>
          <w:b/>
          <w:bCs/>
          <w:color w:val="000000"/>
          <w:sz w:val="24"/>
          <w:szCs w:val="24"/>
        </w:rPr>
        <w:t>Арендная плата за нежилые помещения (муниципальная собственность):</w:t>
      </w:r>
      <w:r>
        <w:rPr>
          <w:rFonts w:cs="Times New Roman"/>
          <w:b w:val="false"/>
          <w:bCs w:val="false"/>
          <w:color w:val="000000"/>
          <w:sz w:val="24"/>
          <w:szCs w:val="24"/>
        </w:rPr>
        <w:t xml:space="preserve"> в размере не ниже рыночной величины арендной платы, определенной оценщиком в соответствии с Федеральным законом от 29.07.1998 г. №135-ФЗ «Об оценочной деятельности в Российской Федерации», Решение Совета Ильинского муниципального района 12.10.2012. № 153 «Об определении размера арендной платы за пользование имуществом, находящимся в муниципальной собственности Ильинского муниципального района Ивановской области».</w:t>
      </w:r>
    </w:p>
    <w:p>
      <w:pPr>
        <w:pStyle w:val="Normal"/>
        <w:jc w:val="both"/>
        <w:rPr>
          <w:rFonts w:ascii="Times New Roman" w:hAnsi="Times New Roman"/>
          <w:sz w:val="24"/>
          <w:szCs w:val="24"/>
        </w:rPr>
      </w:pPr>
      <w:r>
        <w:rPr>
          <w:rFonts w:cs="Times New Roman"/>
          <w:b w:val="false"/>
          <w:bCs w:val="false"/>
          <w:color w:val="000000"/>
          <w:spacing w:val="6"/>
          <w:sz w:val="24"/>
          <w:szCs w:val="24"/>
          <w:u w:val="none"/>
        </w:rPr>
        <w:t>4.5.</w:t>
      </w:r>
      <w:r>
        <w:rPr>
          <w:rFonts w:cs="Times New Roman"/>
          <w:b/>
          <w:bCs/>
          <w:color w:val="000000"/>
          <w:spacing w:val="6"/>
          <w:sz w:val="24"/>
          <w:szCs w:val="24"/>
          <w:u w:val="none"/>
        </w:rPr>
        <w:t>Льготы для</w:t>
      </w:r>
      <w:r>
        <w:rPr>
          <w:rFonts w:cs="Times New Roman"/>
          <w:b w:val="false"/>
          <w:bCs w:val="false"/>
          <w:color w:val="000000"/>
          <w:spacing w:val="-4"/>
          <w:sz w:val="24"/>
          <w:szCs w:val="24"/>
          <w:u w:val="none"/>
        </w:rPr>
        <w:t xml:space="preserve"> </w:t>
      </w:r>
      <w:r>
        <w:rPr>
          <w:rFonts w:cs="Times New Roman"/>
          <w:b/>
          <w:bCs/>
          <w:color w:val="000000"/>
          <w:spacing w:val="-4"/>
          <w:sz w:val="24"/>
          <w:szCs w:val="24"/>
          <w:u w:val="none"/>
        </w:rPr>
        <w:t>арендаторов земельных участков</w:t>
      </w:r>
      <w:r>
        <w:rPr>
          <w:rFonts w:cs="Times New Roman"/>
          <w:b w:val="false"/>
          <w:bCs w:val="false"/>
          <w:color w:val="000000"/>
          <w:spacing w:val="-4"/>
          <w:sz w:val="24"/>
          <w:szCs w:val="24"/>
          <w:u w:val="none"/>
        </w:rPr>
        <w:t>:</w:t>
      </w:r>
    </w:p>
    <w:p>
      <w:pPr>
        <w:pStyle w:val="Normal"/>
        <w:jc w:val="both"/>
        <w:rPr>
          <w:rFonts w:ascii="Times New Roman" w:hAnsi="Times New Roman"/>
          <w:sz w:val="24"/>
          <w:szCs w:val="24"/>
        </w:rPr>
      </w:pPr>
      <w:r>
        <w:rPr>
          <w:rFonts w:cs="Times New Roman"/>
          <w:b w:val="false"/>
          <w:bCs w:val="false"/>
          <w:color w:val="000000"/>
          <w:spacing w:val="-4"/>
          <w:sz w:val="24"/>
          <w:szCs w:val="24"/>
          <w:u w:val="none"/>
        </w:rPr>
        <w:t>-  за пользование земельными участками, государственная собственность на которые не разграничена, расположенными на территории Ильинского муниципального района, лицам, указанным в Порядке определения размера арендной платы за предоставленные в аренду без торгов земельные участки, находящиеся в собственности Ивановской области и земельные участки, государственная собственность на которые не разграничена, утвержденном Постановлением Правительства Ивановской области №225-п от 25.08.2008г.;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74" w:leader="none"/>
        </w:tabs>
        <w:ind w:left="0" w:right="-83" w:hanging="0"/>
        <w:jc w:val="both"/>
        <w:rPr>
          <w:rFonts w:ascii="Times New Roman" w:hAnsi="Times New Roman"/>
          <w:sz w:val="24"/>
          <w:szCs w:val="24"/>
        </w:rPr>
      </w:pPr>
      <w:r>
        <w:rPr>
          <w:rFonts w:cs="Times New Roman"/>
          <w:b w:val="false"/>
          <w:bCs w:val="false"/>
          <w:color w:val="000000"/>
          <w:spacing w:val="-4"/>
          <w:sz w:val="24"/>
          <w:szCs w:val="24"/>
          <w:u w:val="none"/>
        </w:rPr>
        <w:t xml:space="preserve">-  за пользование земельными участками, находящимися в собственности Ильинского муниципального района, лицам, указанным  в Порядке определения размера арендной платы за предоставленные в аренду без торгов земельные участки, находящиеся в собственности Ильинского муниципального района, утвержденного Решением Совета Ильинского муниципального района № 136 от 30.03.2017 г. 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69" w:leader="none"/>
        </w:tabs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4.</w:t>
      </w:r>
      <w:r>
        <w:rPr>
          <w:rFonts w:cs="Bookman Old Style" w:ascii="Bookman Old Style" w:hAnsi="Bookman Old Style"/>
          <w:b/>
          <w:bCs/>
          <w:sz w:val="24"/>
          <w:szCs w:val="24"/>
          <w:lang w:val="en-US"/>
        </w:rPr>
        <w:t>6</w:t>
      </w:r>
      <w:r>
        <w:rPr>
          <w:rFonts w:cs="Bookman Old Style" w:ascii="Bookman Old Style" w:hAnsi="Bookman Old Style"/>
          <w:b/>
          <w:bCs/>
          <w:sz w:val="24"/>
          <w:szCs w:val="24"/>
        </w:rPr>
        <w:t>.Цены на водоснабжение и канализацию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69" w:leader="none"/>
        </w:tabs>
        <w:ind w:left="0" w:right="-83" w:hanging="0"/>
        <w:jc w:val="both"/>
        <w:rPr>
          <w:rFonts w:ascii="Bookman Old Style" w:hAnsi="Bookman Old Style" w:cs="Bookman Old Style"/>
          <w:spacing w:val="-10"/>
          <w:sz w:val="24"/>
          <w:szCs w:val="24"/>
        </w:rPr>
      </w:pPr>
      <w:r>
        <w:rPr>
          <w:rFonts w:cs="Bookman Old Style" w:ascii="Bookman Old Style" w:hAnsi="Bookman Old Style"/>
          <w:spacing w:val="-10"/>
          <w:sz w:val="24"/>
          <w:szCs w:val="24"/>
        </w:rPr>
      </w:r>
    </w:p>
    <w:tbl>
      <w:tblPr>
        <w:tblW w:w="10772" w:type="dxa"/>
        <w:jc w:val="left"/>
        <w:tblInd w:w="-17" w:type="dxa"/>
        <w:tblBorders>
          <w:left w:val="single" w:sz="2" w:space="0" w:color="000001"/>
          <w:bottom w:val="single" w:sz="2" w:space="0" w:color="000001"/>
          <w:insideH w:val="single" w:sz="2" w:space="0" w:color="000001"/>
        </w:tblBorders>
        <w:tblCellMar>
          <w:top w:w="55" w:type="dxa"/>
          <w:left w:w="-2" w:type="dxa"/>
          <w:bottom w:w="55" w:type="dxa"/>
          <w:right w:w="55" w:type="dxa"/>
        </w:tblCellMar>
      </w:tblPr>
      <w:tblGrid>
        <w:gridCol w:w="7260"/>
        <w:gridCol w:w="1755"/>
        <w:gridCol w:w="1757"/>
      </w:tblGrid>
      <w:tr>
        <w:trPr/>
        <w:tc>
          <w:tcPr>
            <w:tcW w:w="7260" w:type="dxa"/>
            <w:tcBorders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>
                <w:b/>
                <w:bCs/>
              </w:rPr>
              <w:t>Ильинское городское поселение</w:t>
            </w:r>
          </w:p>
        </w:tc>
        <w:tc>
          <w:tcPr>
            <w:tcW w:w="1755" w:type="dxa"/>
            <w:tcBorders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  <w:t>водоснабжение</w:t>
            </w:r>
          </w:p>
        </w:tc>
        <w:tc>
          <w:tcPr>
            <w:tcW w:w="1757" w:type="dxa"/>
            <w:tcBorders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  <w:t>водоотведение</w:t>
            </w:r>
          </w:p>
        </w:tc>
      </w:tr>
      <w:tr>
        <w:trPr/>
        <w:tc>
          <w:tcPr>
            <w:tcW w:w="72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  <w:t xml:space="preserve">МУП «ЖКХ (Ильинское) Ильинского муниципального района </w:t>
            </w:r>
          </w:p>
        </w:tc>
        <w:tc>
          <w:tcPr>
            <w:tcW w:w="1755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>
                <w:lang w:val="ru-RU"/>
              </w:rPr>
              <w:t>58,49</w:t>
            </w:r>
          </w:p>
        </w:tc>
        <w:tc>
          <w:tcPr>
            <w:tcW w:w="175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>
                <w:lang w:val="ru-RU"/>
              </w:rPr>
              <w:t>40,18</w:t>
            </w:r>
          </w:p>
        </w:tc>
      </w:tr>
      <w:tr>
        <w:trPr/>
        <w:tc>
          <w:tcPr>
            <w:tcW w:w="72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>
                <w:b/>
                <w:bCs/>
              </w:rPr>
              <w:t>Аньковское сельское поселение</w:t>
            </w:r>
          </w:p>
        </w:tc>
        <w:tc>
          <w:tcPr>
            <w:tcW w:w="1755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</w:r>
          </w:p>
        </w:tc>
        <w:tc>
          <w:tcPr>
            <w:tcW w:w="175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</w:r>
          </w:p>
        </w:tc>
      </w:tr>
      <w:tr>
        <w:trPr/>
        <w:tc>
          <w:tcPr>
            <w:tcW w:w="72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  <w:t>МУП РМПО ЖКХ Ильинско</w:t>
            </w:r>
            <w:r>
              <w:rPr>
                <w:lang w:val="ru-RU"/>
              </w:rPr>
              <w:t>го муниципального района</w:t>
            </w:r>
          </w:p>
        </w:tc>
        <w:tc>
          <w:tcPr>
            <w:tcW w:w="1755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  <w:t>55,25</w:t>
            </w:r>
          </w:p>
        </w:tc>
        <w:tc>
          <w:tcPr>
            <w:tcW w:w="175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  <w:t>39,25</w:t>
            </w:r>
          </w:p>
        </w:tc>
      </w:tr>
      <w:tr>
        <w:trPr/>
        <w:tc>
          <w:tcPr>
            <w:tcW w:w="72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>
                <w:b/>
                <w:bCs/>
              </w:rPr>
              <w:t>Ивашевское сельское поселение</w:t>
            </w:r>
          </w:p>
        </w:tc>
        <w:tc>
          <w:tcPr>
            <w:tcW w:w="1755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</w:r>
          </w:p>
        </w:tc>
        <w:tc>
          <w:tcPr>
            <w:tcW w:w="175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</w:r>
          </w:p>
        </w:tc>
      </w:tr>
      <w:tr>
        <w:trPr/>
        <w:tc>
          <w:tcPr>
            <w:tcW w:w="72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  <w:t>МУП РМПО ЖКХ Ильинско</w:t>
            </w:r>
            <w:r>
              <w:rPr>
                <w:lang w:val="ru-RU"/>
              </w:rPr>
              <w:t>го муниципального района</w:t>
            </w:r>
          </w:p>
        </w:tc>
        <w:tc>
          <w:tcPr>
            <w:tcW w:w="1755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  <w:t>58,06</w:t>
            </w:r>
          </w:p>
        </w:tc>
        <w:tc>
          <w:tcPr>
            <w:tcW w:w="175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</w:r>
          </w:p>
        </w:tc>
      </w:tr>
      <w:tr>
        <w:trPr/>
        <w:tc>
          <w:tcPr>
            <w:tcW w:w="72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>
                <w:b/>
                <w:bCs/>
              </w:rPr>
              <w:t>Исаевское сельское поселение</w:t>
            </w:r>
          </w:p>
        </w:tc>
        <w:tc>
          <w:tcPr>
            <w:tcW w:w="1755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</w:r>
          </w:p>
        </w:tc>
        <w:tc>
          <w:tcPr>
            <w:tcW w:w="175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</w:r>
          </w:p>
        </w:tc>
      </w:tr>
      <w:tr>
        <w:trPr/>
        <w:tc>
          <w:tcPr>
            <w:tcW w:w="72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  <w:t>МУП РМПО ЖКХ Ильинско</w:t>
            </w:r>
            <w:r>
              <w:rPr>
                <w:lang w:val="ru-RU"/>
              </w:rPr>
              <w:t>го муниципального района</w:t>
            </w:r>
          </w:p>
        </w:tc>
        <w:tc>
          <w:tcPr>
            <w:tcW w:w="1755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  <w:t>46,12</w:t>
            </w:r>
          </w:p>
        </w:tc>
        <w:tc>
          <w:tcPr>
            <w:tcW w:w="175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</w:r>
          </w:p>
        </w:tc>
      </w:tr>
      <w:tr>
        <w:trPr/>
        <w:tc>
          <w:tcPr>
            <w:tcW w:w="72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>
                <w:b/>
                <w:bCs/>
              </w:rPr>
              <w:t>Щенниковское сельское поселение</w:t>
            </w:r>
          </w:p>
        </w:tc>
        <w:tc>
          <w:tcPr>
            <w:tcW w:w="1755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</w:r>
          </w:p>
        </w:tc>
        <w:tc>
          <w:tcPr>
            <w:tcW w:w="175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</w:r>
          </w:p>
        </w:tc>
      </w:tr>
      <w:tr>
        <w:trPr/>
        <w:tc>
          <w:tcPr>
            <w:tcW w:w="72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>
                <w:b w:val="false"/>
                <w:bCs w:val="false"/>
              </w:rPr>
              <w:t>МУП РМПО ЖКХ Ильинское</w:t>
            </w:r>
          </w:p>
        </w:tc>
        <w:tc>
          <w:tcPr>
            <w:tcW w:w="1755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  <w:t>37,98</w:t>
            </w:r>
          </w:p>
        </w:tc>
        <w:tc>
          <w:tcPr>
            <w:tcW w:w="175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</w:r>
          </w:p>
        </w:tc>
      </w:tr>
    </w:tbl>
    <w:p>
      <w:pPr>
        <w:pStyle w:val="Normal"/>
        <w:pBdr>
          <w:left w:val="single" w:sz="4" w:space="1" w:color="00000A"/>
        </w:pBdr>
        <w:shd w:val="clear" w:fill="FFFFFF"/>
        <w:tabs>
          <w:tab w:val="left" w:pos="269" w:leader="none"/>
        </w:tabs>
        <w:ind w:left="0" w:right="-83" w:hanging="0"/>
        <w:jc w:val="both"/>
        <w:rPr>
          <w:rFonts w:ascii="Bookman Old Style" w:hAnsi="Bookman Old Style" w:cs="Bookman Old Style"/>
          <w:spacing w:val="-10"/>
          <w:sz w:val="24"/>
          <w:szCs w:val="24"/>
        </w:rPr>
      </w:pPr>
      <w:r>
        <w:rPr>
          <w:rFonts w:cs="Bookman Old Style" w:ascii="Bookman Old Style" w:hAnsi="Bookman Old Style"/>
          <w:spacing w:val="-10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69" w:leader="none"/>
        </w:tabs>
        <w:ind w:left="0" w:right="-83" w:hanging="0"/>
        <w:jc w:val="both"/>
        <w:rPr>
          <w:rFonts w:ascii="Bookman Old Style" w:hAnsi="Bookman Old Style" w:cs="Bookman Old Style"/>
          <w:spacing w:val="-10"/>
          <w:sz w:val="24"/>
          <w:szCs w:val="24"/>
        </w:rPr>
      </w:pPr>
      <w:r>
        <w:rPr>
          <w:rFonts w:cs="Bookman Old Style" w:ascii="Bookman Old Style" w:hAnsi="Bookman Old Style"/>
          <w:spacing w:val="-10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88" w:leader="none"/>
        </w:tabs>
        <w:ind w:left="0" w:right="-83" w:hanging="0"/>
        <w:jc w:val="both"/>
        <w:rPr>
          <w:rFonts w:ascii="Bookman Old Style" w:hAnsi="Bookman Old Style" w:cs="Bookman Old Style"/>
          <w:color w:val="800000"/>
          <w:spacing w:val="-6"/>
          <w:sz w:val="24"/>
          <w:szCs w:val="24"/>
        </w:rPr>
      </w:pPr>
      <w:r>
        <w:rPr>
          <w:rFonts w:cs="Bookman Old Style" w:ascii="Bookman Old Style" w:hAnsi="Bookman Old Style"/>
          <w:color w:val="800000"/>
          <w:spacing w:val="-6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  <w:highlight w:val="yellow"/>
        </w:rPr>
      </w:pPr>
      <w:r>
        <w:rPr>
          <w:rFonts w:cs="Bookman Old Style" w:ascii="Bookman Old Style" w:hAnsi="Bookman Old Style"/>
          <w:b/>
          <w:bCs/>
          <w:sz w:val="24"/>
          <w:szCs w:val="24"/>
          <w:highlight w:val="yellow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center"/>
        <w:rPr>
          <w:rFonts w:ascii="Bookman Old Style" w:hAnsi="Bookman Old Style" w:cs="Bookman Old Style"/>
          <w:b/>
          <w:b/>
          <w:bCs/>
          <w:color w:val="365F91"/>
          <w:sz w:val="24"/>
          <w:szCs w:val="24"/>
          <w:u w:val="single"/>
        </w:rPr>
      </w:pPr>
      <w:r>
        <w:rPr>
          <w:rFonts w:cs="Bookman Old Style" w:ascii="Bookman Old Style" w:hAnsi="Bookman Old Style"/>
          <w:b/>
          <w:bCs/>
          <w:color w:val="365F91"/>
          <w:sz w:val="24"/>
          <w:szCs w:val="24"/>
          <w:u w:val="single"/>
        </w:rPr>
        <w:t>5. ИНВЕСТИЦИОННАЯ ПОЛИТИКА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>5.1.Инвестиции в основной капитал за счет всех источников финансирования, всего (тыс.руб.) – 73903,0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5.1.1.</w:t>
      </w:r>
      <w:r>
        <w:rPr>
          <w:rFonts w:cs="Bookman Old Style" w:ascii="Bookman Old Style" w:hAnsi="Bookman Old Style"/>
          <w:spacing w:val="-6"/>
          <w:sz w:val="24"/>
          <w:szCs w:val="24"/>
        </w:rPr>
        <w:t>Инвестиции по крупным и средним предприятиям и организациям (тыс.руб.) – 48903,0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5.1.4.Инвестиции в основной капитал по видам экономической деятельности (тыс.руб.): </w:t>
      </w:r>
    </w:p>
    <w:p>
      <w:pPr>
        <w:pStyle w:val="Normal"/>
        <w:pBdr>
          <w:left w:val="single" w:sz="4" w:space="1" w:color="00000A"/>
        </w:pBdr>
        <w:rPr/>
      </w:pPr>
      <w:r>
        <w:rPr>
          <w:rFonts w:cs="Bookman Old Style" w:ascii="Bookman Old Style" w:hAnsi="Bookman Old Style"/>
          <w:sz w:val="24"/>
          <w:szCs w:val="24"/>
        </w:rPr>
        <w:t>- Сельское хозяйство, охота и лесное хозяйство – 25790,0</w:t>
      </w:r>
    </w:p>
    <w:p>
      <w:pPr>
        <w:pStyle w:val="Normal"/>
        <w:pBdr>
          <w:left w:val="single" w:sz="4" w:space="1" w:color="00000A"/>
        </w:pBdr>
        <w:rPr/>
      </w:pPr>
      <w:r>
        <w:rPr>
          <w:rFonts w:cs="Bookman Old Style" w:ascii="Bookman Old Style" w:hAnsi="Bookman Old Style"/>
          <w:sz w:val="24"/>
          <w:szCs w:val="24"/>
        </w:rPr>
        <w:t>- Обрабатывающие производства – 6270,0</w:t>
      </w:r>
    </w:p>
    <w:p>
      <w:pPr>
        <w:pStyle w:val="Normal"/>
        <w:pBdr>
          <w:left w:val="single" w:sz="4" w:space="1" w:color="00000A"/>
        </w:pBdr>
        <w:rPr/>
      </w:pPr>
      <w:r>
        <w:rPr>
          <w:rFonts w:cs="Bookman Old Style" w:ascii="Bookman Old Style" w:hAnsi="Bookman Old Style"/>
          <w:sz w:val="24"/>
          <w:szCs w:val="24"/>
        </w:rPr>
        <w:t>- Государственное управление и обеспечение военной безопасности, обязательное социальное обеспечение – 20332,0</w:t>
      </w:r>
    </w:p>
    <w:p>
      <w:pPr>
        <w:pStyle w:val="Normal"/>
        <w:pBdr>
          <w:left w:val="single" w:sz="4" w:space="1" w:color="00000A"/>
        </w:pBdr>
        <w:rPr/>
      </w:pPr>
      <w:r>
        <w:rPr>
          <w:rFonts w:cs="Bookman Old Style" w:ascii="Bookman Old Style" w:hAnsi="Bookman Old Style"/>
          <w:sz w:val="24"/>
          <w:szCs w:val="24"/>
        </w:rPr>
        <w:t>- Образование – 4659</w:t>
      </w:r>
    </w:p>
    <w:p>
      <w:pPr>
        <w:pStyle w:val="Normal"/>
        <w:pBdr>
          <w:left w:val="single" w:sz="4" w:space="1" w:color="00000A"/>
        </w:pBdr>
        <w:rPr/>
      </w:pPr>
      <w:r>
        <w:rPr>
          <w:rFonts w:cs="Bookman Old Style" w:ascii="Bookman Old Style" w:hAnsi="Bookman Old Style"/>
          <w:sz w:val="24"/>
          <w:szCs w:val="24"/>
        </w:rPr>
        <w:t>- Занятость населения – 0</w:t>
      </w:r>
    </w:p>
    <w:p>
      <w:pPr>
        <w:pStyle w:val="Normal"/>
        <w:pBdr>
          <w:left w:val="single" w:sz="4" w:space="1" w:color="00000A"/>
        </w:pBdr>
        <w:rPr/>
      </w:pPr>
      <w:r>
        <w:rPr>
          <w:rFonts w:cs="Bookman Old Style" w:ascii="Bookman Old Style" w:hAnsi="Bookman Old Style"/>
          <w:sz w:val="24"/>
          <w:szCs w:val="24"/>
        </w:rPr>
        <w:t>- Здравоохранение и предоставление социальных услуг – 4071,0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>5.2.Инвестиции в промышленность</w:t>
      </w:r>
      <w:r>
        <w:rPr>
          <w:rFonts w:cs="Bookman Old Style" w:ascii="Bookman Old Style" w:hAnsi="Bookman Old Style"/>
          <w:sz w:val="24"/>
          <w:szCs w:val="24"/>
        </w:rPr>
        <w:t xml:space="preserve"> (тыс. руб.) –7007,0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spacing w:val="-6"/>
          <w:sz w:val="24"/>
          <w:szCs w:val="24"/>
        </w:rPr>
        <w:t>по виду экономической деятельности «</w:t>
      </w:r>
      <w:r>
        <w:rPr>
          <w:rFonts w:cs="Bookman Old Style" w:ascii="Bookman Old Style" w:hAnsi="Bookman Old Style"/>
          <w:b/>
          <w:bCs/>
          <w:spacing w:val="-6"/>
          <w:sz w:val="24"/>
          <w:szCs w:val="24"/>
        </w:rPr>
        <w:t>Обрабатывающие производства</w:t>
      </w:r>
      <w:r>
        <w:rPr>
          <w:rFonts w:cs="Bookman Old Style" w:ascii="Bookman Old Style" w:hAnsi="Bookman Old Style"/>
          <w:spacing w:val="-6"/>
          <w:sz w:val="24"/>
          <w:szCs w:val="24"/>
        </w:rPr>
        <w:t>», из них:</w:t>
      </w:r>
    </w:p>
    <w:p>
      <w:pPr>
        <w:pStyle w:val="Normal"/>
        <w:pBdr>
          <w:left w:val="single" w:sz="4" w:space="1" w:color="00000A"/>
        </w:pBdr>
        <w:rPr/>
      </w:pPr>
      <w:r>
        <w:rPr>
          <w:rFonts w:cs="Bookman Old Style" w:ascii="Bookman Old Style" w:hAnsi="Bookman Old Style"/>
          <w:sz w:val="24"/>
          <w:szCs w:val="24"/>
        </w:rPr>
        <w:t>- производство пищевых продуктов – 6270,0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5.3.Инвестиции в основной капитал крупных и средних предприятий и организаций по источникам финансирования 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5.3.1.Собственные средства, всего (тыс.руб.) – 18995,0</w:t>
      </w:r>
    </w:p>
    <w:p>
      <w:pPr>
        <w:pStyle w:val="Normal"/>
        <w:pBdr>
          <w:left w:val="single" w:sz="4" w:space="1" w:color="00000A"/>
        </w:pBdr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в т.ч. прибыль, остающаяся в распоряжении организации (тыс. руб.)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5.3.2.Привлеченные средства, всего (тыс.руб.) – 30388,0 в т.ч.:</w:t>
      </w:r>
    </w:p>
    <w:p>
      <w:pPr>
        <w:pStyle w:val="Normal"/>
        <w:pBdr>
          <w:left w:val="single" w:sz="4" w:space="1" w:color="00000A"/>
        </w:pBdr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5.3.2.1.Кредиты банков (тыс.руб.) –0</w:t>
      </w:r>
    </w:p>
    <w:p>
      <w:pPr>
        <w:pStyle w:val="Normal"/>
        <w:pBdr>
          <w:left w:val="single" w:sz="4" w:space="1" w:color="00000A"/>
        </w:pBdr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5.3.2.2. Заемные средства других организаций – 0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5.3.2.3.Бюджетные средства, всего (тыс.руб.) – 29922,0 из них: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- Федеральный бюджет (тыс.руб.) – 2678,0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- </w:t>
      </w:r>
      <w:r>
        <w:rPr>
          <w:rFonts w:cs="Bookman Old Style" w:ascii="Bookman Old Style" w:hAnsi="Bookman Old Style"/>
          <w:spacing w:val="-6"/>
          <w:sz w:val="24"/>
          <w:szCs w:val="24"/>
        </w:rPr>
        <w:t>Бюджет субъекта Российской Федерации и местный бюджет (тыс.руб.)</w:t>
      </w:r>
      <w:r>
        <w:rPr>
          <w:rFonts w:cs="Bookman Old Style" w:ascii="Bookman Old Style" w:hAnsi="Bookman Old Style"/>
          <w:sz w:val="24"/>
          <w:szCs w:val="24"/>
        </w:rPr>
        <w:t xml:space="preserve"> – 27244,0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- Прочие (тыс.руб.) – 220,0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18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pacing w:val="2"/>
          <w:sz w:val="24"/>
          <w:szCs w:val="24"/>
        </w:rPr>
        <w:t xml:space="preserve">5.4.Прирост объема инвестиций в основной капитал из всех источников финансирования (%) </w:t>
      </w:r>
      <w:r>
        <w:rPr>
          <w:rFonts w:cs="Bookman Old Style" w:ascii="Bookman Old Style" w:hAnsi="Bookman Old Style"/>
          <w:spacing w:val="2"/>
          <w:sz w:val="24"/>
          <w:szCs w:val="24"/>
        </w:rPr>
        <w:t>– 65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93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5.5.Доля инвестиций из собственных средств в основной капитал (%) </w:t>
      </w:r>
      <w:r>
        <w:rPr>
          <w:rFonts w:cs="Bookman Old Style" w:ascii="Bookman Old Style" w:hAnsi="Bookman Old Style"/>
          <w:sz w:val="24"/>
          <w:szCs w:val="24"/>
        </w:rPr>
        <w:t>– 38,5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93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>5.6.Доля инвестиций производственного назначения (%)</w:t>
      </w:r>
      <w:r>
        <w:rPr>
          <w:rFonts w:cs="Bookman Old Style" w:ascii="Bookman Old Style" w:hAnsi="Bookman Old Style"/>
          <w:sz w:val="24"/>
          <w:szCs w:val="24"/>
        </w:rPr>
        <w:t xml:space="preserve"> – н/д.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>5.7.Приоритетные направления инвестиционной политики</w:t>
      </w:r>
      <w:r>
        <w:rPr>
          <w:rFonts w:cs="Bookman Old Style" w:ascii="Bookman Old Style" w:hAnsi="Bookman Old Style"/>
          <w:sz w:val="24"/>
          <w:szCs w:val="24"/>
        </w:rPr>
        <w:t xml:space="preserve"> – сельское хозяйство, газификация, образование, промышленность, здравоохранение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  <w:highlight w:val="yellow"/>
        </w:rPr>
      </w:pPr>
      <w:r>
        <w:rPr>
          <w:rFonts w:cs="Bookman Old Style" w:ascii="Bookman Old Style" w:hAnsi="Bookman Old Style"/>
          <w:b/>
          <w:bCs/>
          <w:sz w:val="24"/>
          <w:szCs w:val="24"/>
          <w:highlight w:val="yellow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center"/>
        <w:rPr/>
      </w:pPr>
      <w:r>
        <w:rPr>
          <w:rFonts w:cs="Bookman Old Style" w:ascii="Bookman Old Style" w:hAnsi="Bookman Old Style"/>
          <w:b/>
          <w:bCs/>
          <w:color w:val="365F91"/>
          <w:sz w:val="24"/>
          <w:szCs w:val="24"/>
          <w:u w:val="single"/>
        </w:rPr>
        <w:t>6. НОРМАТИВНЫЕ И ПРАВОВЫЕ АКТЫ, РАЗРАБОТАННЫЕ В МО, В ОБЛАСТИ ПОДДЕРЖКИ И РАЗВИТИЯ ИНВЕСТИЦИОННОЙ ДЕЯТЕЛЬНОСТИ</w:t>
      </w:r>
    </w:p>
    <w:p>
      <w:pPr>
        <w:pStyle w:val="Normal"/>
        <w:widowControl w:val="false"/>
        <w:pBdr>
          <w:left w:val="single" w:sz="4" w:space="1" w:color="00000A"/>
        </w:pBdr>
        <w:shd w:val="clear" w:fill="FFFFFF"/>
        <w:suppressAutoHyphens w:val="false"/>
        <w:overflowPunct w:val="false"/>
        <w:bidi w:val="0"/>
        <w:ind w:left="0" w:right="-57" w:hanging="0"/>
        <w:jc w:val="center"/>
        <w:rPr>
          <w:rFonts w:ascii="Bookman Old Style" w:hAnsi="Bookman Old Style" w:cs="Bookman Old Style"/>
          <w:b/>
          <w:b/>
          <w:bCs/>
          <w:color w:val="365F91"/>
          <w:sz w:val="24"/>
          <w:szCs w:val="24"/>
          <w:u w:val="single"/>
        </w:rPr>
      </w:pPr>
      <w:r>
        <w:rPr>
          <w:rFonts w:cs="Bookman Old Style" w:ascii="Bookman Old Style" w:hAnsi="Bookman Old Style"/>
          <w:b/>
          <w:bCs/>
          <w:color w:val="365F91"/>
          <w:sz w:val="24"/>
          <w:szCs w:val="24"/>
          <w:u w:val="single"/>
        </w:rPr>
      </w:r>
    </w:p>
    <w:p>
      <w:pPr>
        <w:pStyle w:val="Normal"/>
        <w:pBdr>
          <w:left w:val="single" w:sz="4" w:space="1" w:color="00000A"/>
        </w:pBdr>
        <w:shd w:val="clear" w:fill="FFFFFF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 xml:space="preserve">   </w:t>
      </w:r>
      <w:r>
        <w:rPr>
          <w:rFonts w:cs="Bookman Old Style" w:ascii="Bookman Old Style" w:hAnsi="Bookman Old Style"/>
          <w:sz w:val="24"/>
          <w:szCs w:val="24"/>
        </w:rPr>
        <w:t>Решение Совета Ильинского муниципального района от 16.06.2016 N 90 "Об утверждении Положения "О муниципальной поддержке инвестиционной деятельности на территории Ильинского муниципального района"</w:t>
      </w:r>
    </w:p>
    <w:p>
      <w:pPr>
        <w:pStyle w:val="Normal"/>
        <w:pBdr>
          <w:left w:val="single" w:sz="4" w:space="1" w:color="00000A"/>
        </w:pBdr>
        <w:shd w:val="clear" w:fill="FFFFFF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 xml:space="preserve">  </w:t>
      </w:r>
      <w:r>
        <w:rPr>
          <w:rFonts w:cs="Bookman Old Style" w:ascii="Bookman Old Style" w:hAnsi="Bookman Old Style"/>
          <w:sz w:val="24"/>
          <w:szCs w:val="24"/>
        </w:rPr>
        <w:t>Постановление главы Ильинского муниципального района от 30.04.2009 г. №159 «Об утверждении порядка рассмотрения инвестиционных проектов»;</w:t>
      </w:r>
    </w:p>
    <w:p>
      <w:pPr>
        <w:pStyle w:val="Normal"/>
        <w:pBdr>
          <w:left w:val="single" w:sz="4" w:space="1" w:color="00000A"/>
        </w:pBdr>
        <w:shd w:val="clear" w:fill="FFFFFF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   </w:t>
      </w:r>
      <w:r>
        <w:rPr>
          <w:rFonts w:cs="Bookman Old Style" w:ascii="Bookman Old Style" w:hAnsi="Bookman Old Style"/>
          <w:sz w:val="24"/>
          <w:szCs w:val="24"/>
        </w:rPr>
        <w:t>Распоряжение главы администрации Ильинского муниципального района от 14.06.2018 г. №308-р «О комиссии по содействию инвестиционной деятельности на территории Ильинского муниципального района».</w:t>
      </w:r>
    </w:p>
    <w:p>
      <w:pPr>
        <w:pStyle w:val="Normal"/>
        <w:jc w:val="both"/>
        <w:rPr>
          <w:b w:val="false"/>
          <w:b w:val="false"/>
          <w:bCs w:val="false"/>
          <w:sz w:val="24"/>
          <w:szCs w:val="24"/>
        </w:rPr>
      </w:pPr>
      <w:r>
        <w:rPr>
          <w:rFonts w:eastAsia="Times New Roman" w:cs="Times New Roman"/>
          <w:b w:val="false"/>
          <w:bCs w:val="false"/>
          <w:sz w:val="24"/>
          <w:szCs w:val="24"/>
          <w:lang w:eastAsia="ru-RU"/>
        </w:rPr>
        <w:t xml:space="preserve">   </w:t>
      </w:r>
      <w:r>
        <w:rPr>
          <w:rFonts w:eastAsia="Times New Roman" w:cs="Times New Roman"/>
          <w:b w:val="false"/>
          <w:bCs w:val="false"/>
          <w:sz w:val="24"/>
          <w:szCs w:val="24"/>
          <w:lang w:val="ru-RU" w:eastAsia="ru-RU"/>
        </w:rPr>
        <w:t>Постановление администрации Ильинского муниципального района от 14.10.2020г. № 257 «</w:t>
      </w:r>
      <w:r>
        <w:rPr>
          <w:rFonts w:eastAsia="Times New Roman" w:cs="Times New Roman"/>
          <w:b w:val="false"/>
          <w:bCs w:val="false"/>
          <w:sz w:val="24"/>
          <w:szCs w:val="24"/>
          <w:lang w:eastAsia="ru-RU"/>
        </w:rPr>
        <w:t xml:space="preserve">О создании  штаба </w:t>
      </w:r>
      <w:r>
        <w:rPr>
          <w:rFonts w:eastAsia="Times New Roman" w:cs="Times New Roman" w:ascii="Bookman Old Style" w:hAnsi="Bookman Old Style"/>
          <w:b w:val="false"/>
          <w:bCs w:val="false"/>
          <w:sz w:val="24"/>
          <w:szCs w:val="24"/>
          <w:lang w:eastAsia="ru-RU"/>
        </w:rPr>
        <w:t xml:space="preserve">по улучшению инвестиционного климата на территории </w:t>
      </w:r>
      <w:r>
        <w:rPr>
          <w:rFonts w:eastAsia="Times New Roman" w:cs="Times New Roman" w:ascii="Bookman Old Style" w:hAnsi="Bookman Old Style"/>
          <w:b w:val="false"/>
          <w:bCs w:val="false"/>
          <w:i w:val="false"/>
          <w:iCs w:val="false"/>
          <w:sz w:val="24"/>
          <w:szCs w:val="24"/>
          <w:lang w:eastAsia="ru-RU"/>
        </w:rPr>
        <w:t>Ильинского муниципального района</w:t>
      </w:r>
      <w:r>
        <w:rPr>
          <w:rFonts w:eastAsia="Times New Roman" w:cs="Times New Roman" w:ascii="Bookman Old Style" w:hAnsi="Bookman Old Style"/>
          <w:b w:val="false"/>
          <w:bCs w:val="false"/>
          <w:sz w:val="24"/>
          <w:szCs w:val="24"/>
          <w:lang w:eastAsia="ru-RU"/>
        </w:rPr>
        <w:t xml:space="preserve"> Ивановской области»</w:t>
      </w:r>
    </w:p>
    <w:p>
      <w:pPr>
        <w:pStyle w:val="Normal"/>
        <w:jc w:val="both"/>
        <w:rPr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sz w:val="24"/>
          <w:szCs w:val="24"/>
        </w:rPr>
        <w:t xml:space="preserve">  </w:t>
      </w:r>
      <w:r>
        <w:rPr>
          <w:b w:val="false"/>
          <w:bCs w:val="false"/>
          <w:sz w:val="24"/>
          <w:szCs w:val="24"/>
        </w:rPr>
        <w:t xml:space="preserve">Распоряжение администрации Ильинского муниципального района от 16.12.2020г. № 549-р «Об утверждении плана мероприятий по созданию рабочих мест и развитию предпринимательской инициативы </w:t>
      </w:r>
      <w:r>
        <w:rPr>
          <w:rFonts w:eastAsia="Times New Roman" w:cs="Times New Roman" w:ascii="Bookman Old Style" w:hAnsi="Bookman Old Style"/>
          <w:b w:val="false"/>
          <w:bCs w:val="false"/>
          <w:sz w:val="24"/>
          <w:szCs w:val="24"/>
          <w:lang w:eastAsia="ru-RU"/>
        </w:rPr>
        <w:t>в Ильинском муниципальном районе Ивановской области»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center"/>
        <w:rPr>
          <w:rFonts w:ascii="Bookman Old Style" w:hAnsi="Bookman Old Style" w:cs="Bookman Old Style"/>
          <w:b/>
          <w:b/>
          <w:bCs/>
          <w:color w:val="000000"/>
          <w:sz w:val="24"/>
          <w:szCs w:val="24"/>
          <w:u w:val="single"/>
        </w:rPr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  <w:u w:val="single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center"/>
        <w:rPr/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  <w:u w:val="single"/>
        </w:rPr>
        <w:t>7. ИНВЕСТИЦИОННЫЕ ПРОЕКТЫ, УСПЕШНО РЕАЛИЗУЕМЫЕ НА ТЕРРИТОРИИ МУНИЦИПАЛЬНОГО ОБРАЗОВАНИЯ  – В 201</w:t>
      </w:r>
      <w:r>
        <w:rPr>
          <w:rFonts w:cs="Bookman Old Style" w:ascii="Bookman Old Style" w:hAnsi="Bookman Old Style"/>
          <w:b/>
          <w:bCs/>
          <w:color w:val="000000"/>
          <w:sz w:val="24"/>
          <w:szCs w:val="24"/>
          <w:u w:val="single"/>
          <w:lang w:val="en-US"/>
        </w:rPr>
        <w:t>6</w:t>
      </w:r>
      <w:r>
        <w:rPr>
          <w:rFonts w:cs="Bookman Old Style" w:ascii="Bookman Old Style" w:hAnsi="Bookman Old Style"/>
          <w:b/>
          <w:bCs/>
          <w:color w:val="000000"/>
          <w:sz w:val="24"/>
          <w:szCs w:val="24"/>
          <w:u w:val="single"/>
        </w:rPr>
        <w:t>-20</w:t>
      </w:r>
      <w:r>
        <w:rPr>
          <w:rFonts w:cs="Bookman Old Style" w:ascii="Bookman Old Style" w:hAnsi="Bookman Old Style"/>
          <w:b/>
          <w:bCs/>
          <w:color w:val="000000"/>
          <w:sz w:val="24"/>
          <w:szCs w:val="24"/>
          <w:u w:val="single"/>
          <w:lang w:val="en-US"/>
        </w:rPr>
        <w:t>20</w:t>
      </w:r>
      <w:r>
        <w:rPr>
          <w:rFonts w:cs="Bookman Old Style" w:ascii="Bookman Old Style" w:hAnsi="Bookman Old Style"/>
          <w:b/>
          <w:bCs/>
          <w:color w:val="000000"/>
          <w:sz w:val="24"/>
          <w:szCs w:val="24"/>
          <w:u w:val="single"/>
        </w:rPr>
        <w:t xml:space="preserve"> ГОДАХ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color w:val="800000"/>
          <w:sz w:val="24"/>
          <w:szCs w:val="24"/>
        </w:rPr>
      </w:pPr>
      <w:r>
        <w:rPr>
          <w:rFonts w:cs="Bookman Old Style" w:ascii="Bookman Old Style" w:hAnsi="Bookman Old Style"/>
          <w:color w:val="800000"/>
          <w:sz w:val="24"/>
          <w:szCs w:val="24"/>
        </w:rPr>
        <w:t xml:space="preserve">   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color w:val="800000"/>
          <w:sz w:val="24"/>
          <w:szCs w:val="24"/>
        </w:rPr>
        <w:t xml:space="preserve">  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b w:val="false"/>
          <w:b w:val="false"/>
          <w:bCs w:val="false"/>
          <w:color w:val="000000"/>
          <w:sz w:val="24"/>
          <w:szCs w:val="24"/>
        </w:rPr>
      </w:pP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</w:rPr>
        <w:t xml:space="preserve">   </w:t>
      </w: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</w:rPr>
        <w:t>В 2016 году ООО «Ильинское-Агро» было приобретено имущество на 73 млн. руб : зерносклады, мастерская, земельные участки. Были введены в эксплуатацию три артезианских скважины в д. Нажерово и в д. Астафьево, для содержания животных. Было закуплено животных более чем на 7 млн. руб., куплен зерноуборочный комбайн «Полесье»</w:t>
      </w:r>
    </w:p>
    <w:p>
      <w:pPr>
        <w:pStyle w:val="Normal"/>
        <w:widowControl w:val="false"/>
        <w:pBdr>
          <w:left w:val="single" w:sz="4" w:space="1" w:color="00000A"/>
        </w:pBdr>
        <w:shd w:val="clear" w:fill="FFFFFF"/>
        <w:suppressAutoHyphens w:val="false"/>
        <w:bidi w:val="0"/>
        <w:ind w:left="0" w:right="-113" w:firstLine="227"/>
        <w:jc w:val="both"/>
        <w:rPr/>
      </w:pPr>
      <w:r>
        <w:rPr>
          <w:rFonts w:cs="Bookman Old Style"/>
          <w:b w:val="false"/>
          <w:bCs w:val="false"/>
          <w:color w:val="000000"/>
          <w:sz w:val="24"/>
          <w:szCs w:val="24"/>
        </w:rPr>
        <w:t>В 2017 году преобретались:</w:t>
      </w:r>
      <w:r>
        <w:rPr>
          <w:rFonts w:cs="Times New Roman CYR"/>
          <w:b w:val="false"/>
          <w:bCs w:val="false"/>
          <w:color w:val="000000"/>
          <w:sz w:val="24"/>
          <w:szCs w:val="24"/>
        </w:rPr>
        <w:t xml:space="preserve"> </w:t>
      </w:r>
      <w:r>
        <w:rPr>
          <w:rFonts w:cs="Bookman Old Style"/>
          <w:b w:val="false"/>
          <w:bCs w:val="false"/>
          <w:color w:val="000000"/>
          <w:sz w:val="24"/>
          <w:szCs w:val="24"/>
        </w:rPr>
        <w:t>Жатка РСМ-081.27, Жатка роторная ЖР-4000, мобильная сушилка AGRIMEC, Комбайн зерноуборочный самоходный РСМ-152 "ACROS Plus", Очиститель вороха самопередвижной ОВС25, Погрузчик фронтальный Т-229 MF, Упаковщик рулонов SW 120.</w:t>
      </w:r>
    </w:p>
    <w:p>
      <w:pPr>
        <w:pStyle w:val="Normal"/>
        <w:widowControl w:val="false"/>
        <w:pBdr>
          <w:left w:val="single" w:sz="4" w:space="1" w:color="00000A"/>
        </w:pBdr>
        <w:shd w:val="clear" w:fill="FFFFFF"/>
        <w:suppressAutoHyphens w:val="false"/>
        <w:bidi w:val="0"/>
        <w:ind w:left="0" w:right="-113" w:firstLine="227"/>
        <w:jc w:val="both"/>
        <w:rPr/>
      </w:pPr>
      <w:r>
        <w:rPr>
          <w:rFonts w:cs="Bookman Old Style"/>
          <w:b w:val="false"/>
          <w:bCs w:val="false"/>
          <w:color w:val="000000"/>
          <w:sz w:val="24"/>
          <w:szCs w:val="24"/>
        </w:rPr>
        <w:t xml:space="preserve">В 2018 году: </w:t>
      </w:r>
      <w:r>
        <w:rPr>
          <w:rFonts w:cs="Times New Roman CYR"/>
          <w:b w:val="false"/>
          <w:bCs w:val="false"/>
          <w:color w:val="000000"/>
          <w:sz w:val="24"/>
          <w:szCs w:val="24"/>
        </w:rPr>
        <w:t>Трактор Т — 150,  рулоновоз — ПТР-109, прессподборщик — Волагре, и Экструдер для зерна, что в настоящее время является единственным в районе.</w:t>
      </w:r>
    </w:p>
    <w:p>
      <w:pPr>
        <w:pStyle w:val="Normal"/>
        <w:widowControl w:val="false"/>
        <w:pBdr>
          <w:left w:val="single" w:sz="4" w:space="1" w:color="00000A"/>
        </w:pBdr>
        <w:shd w:val="clear" w:fill="FFFFFF"/>
        <w:suppressAutoHyphens w:val="false"/>
        <w:bidi w:val="0"/>
        <w:ind w:left="0" w:right="-83" w:hanging="0"/>
        <w:jc w:val="both"/>
        <w:rPr/>
      </w:pPr>
      <w:r>
        <w:rPr>
          <w:rFonts w:cs="Bookman Old Style"/>
          <w:b w:val="false"/>
          <w:bCs w:val="false"/>
          <w:color w:val="000000"/>
          <w:sz w:val="24"/>
          <w:szCs w:val="24"/>
        </w:rPr>
        <w:t xml:space="preserve"> </w:t>
      </w:r>
      <w:r>
        <w:rPr>
          <w:rFonts w:cs="Bookman Old Style"/>
          <w:b w:val="false"/>
          <w:bCs w:val="false"/>
          <w:color w:val="000000"/>
          <w:sz w:val="24"/>
          <w:szCs w:val="24"/>
        </w:rPr>
        <w:t xml:space="preserve">В 2018 году объем инвестиций в развитие предприятия по производству высококачественной говядины – ООО «Ильинское-Агро» составил – 18,0 млн.руб. В 2019 — 16,4 млн.руб. : </w:t>
      </w:r>
      <w:r>
        <w:rPr>
          <w:rFonts w:eastAsia="SimSun" w:cs="Times New Roman"/>
          <w:b w:val="false"/>
          <w:bCs w:val="false"/>
          <w:color w:val="000000"/>
          <w:sz w:val="24"/>
          <w:szCs w:val="24"/>
          <w:shd w:fill="FFFFFF" w:val="clear"/>
          <w:lang w:val="ru-RU" w:eastAsia="zh-CN"/>
        </w:rPr>
        <w:t>начато строительство четырёх силосных траншей в общей сложности на 6 тыс. тонн.</w:t>
      </w:r>
      <w:r>
        <w:rPr>
          <w:rFonts w:eastAsia="Times New Roman CYR" w:cs="Times New Roman CYR"/>
          <w:b w:val="false"/>
          <w:bCs w:val="false"/>
          <w:color w:val="000000"/>
          <w:sz w:val="24"/>
          <w:szCs w:val="24"/>
          <w:shd w:fill="FFFFFF" w:val="clear"/>
          <w:lang w:val="ru-RU" w:eastAsia="zh-CN"/>
        </w:rPr>
        <w:t>,</w:t>
      </w:r>
      <w:r>
        <w:rPr>
          <w:rFonts w:eastAsia="SimSun" w:cs="Times New Roman"/>
          <w:b w:val="false"/>
          <w:bCs w:val="false"/>
          <w:color w:val="000000"/>
          <w:sz w:val="24"/>
          <w:szCs w:val="24"/>
          <w:shd w:fill="FFFFFF" w:val="clear"/>
          <w:lang w:val="ru-RU" w:eastAsia="zh-CN"/>
        </w:rPr>
        <w:t xml:space="preserve"> установлен и введен в эксплуатацию кормовой двухсторонний стол длиной 300м.,</w:t>
      </w:r>
    </w:p>
    <w:p>
      <w:pPr>
        <w:pStyle w:val="Normal"/>
        <w:widowControl w:val="false"/>
        <w:pBdr>
          <w:left w:val="single" w:sz="4" w:space="1" w:color="00000A"/>
        </w:pBdr>
        <w:shd w:val="clear" w:fill="FFFFFF"/>
        <w:suppressAutoHyphens w:val="false"/>
        <w:bidi w:val="0"/>
        <w:ind w:left="0" w:right="-83" w:hanging="0"/>
        <w:jc w:val="both"/>
        <w:rPr/>
      </w:pPr>
      <w:r>
        <w:rPr>
          <w:rFonts w:cs="Bookman Old Style"/>
          <w:b w:val="false"/>
          <w:bCs w:val="false"/>
          <w:color w:val="000000"/>
          <w:sz w:val="24"/>
          <w:szCs w:val="24"/>
        </w:rPr>
        <w:t xml:space="preserve">  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/>
          <w:b w:val="false"/>
          <w:bCs w:val="false"/>
          <w:color w:val="000000"/>
          <w:sz w:val="24"/>
          <w:szCs w:val="24"/>
        </w:rPr>
        <w:t xml:space="preserve">  </w:t>
      </w:r>
    </w:p>
    <w:p>
      <w:pPr>
        <w:pStyle w:val="Normal"/>
        <w:widowControl w:val="false"/>
        <w:pBdr>
          <w:left w:val="single" w:sz="4" w:space="1" w:color="00000A"/>
        </w:pBdr>
        <w:shd w:val="clear" w:fill="FFFFFF"/>
        <w:suppressAutoHyphens w:val="false"/>
        <w:bidi w:val="0"/>
        <w:ind w:left="0" w:right="-113" w:firstLine="227"/>
        <w:jc w:val="both"/>
        <w:rPr/>
      </w:pPr>
      <w:r>
        <w:rPr>
          <w:rFonts w:cs="Times New Roman CYR"/>
          <w:b w:val="false"/>
          <w:bCs w:val="false"/>
          <w:color w:val="000000"/>
          <w:sz w:val="24"/>
          <w:szCs w:val="24"/>
          <w:highlight w:val="white"/>
        </w:rPr>
        <w:t xml:space="preserve">В 2016 году </w:t>
      </w:r>
      <w:r>
        <w:rPr>
          <w:rFonts w:cs="Times New Roman CYR"/>
          <w:b w:val="false"/>
          <w:bCs w:val="false"/>
          <w:color w:val="000000"/>
          <w:sz w:val="24"/>
          <w:szCs w:val="24"/>
          <w:highlight w:val="white"/>
          <w:lang w:val="ru-RU"/>
        </w:rPr>
        <w:t>в ЗАО «Гарское»</w:t>
      </w:r>
      <w:r>
        <w:rPr>
          <w:rFonts w:cs="Times New Roman CYR"/>
          <w:b w:val="false"/>
          <w:bCs w:val="false"/>
          <w:color w:val="000000"/>
          <w:sz w:val="24"/>
          <w:szCs w:val="24"/>
          <w:highlight w:val="white"/>
        </w:rPr>
        <w:t xml:space="preserve"> приобретено сушильное оборудование, автомат по розливу молока, который установлен в торговой сети «Лента» г. Иваново и закуплен фургон для доставки молока к автоматам, установлено оборудование для производства творога. Приобретен опрыскиватель и грабли.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Times New Roman CYR"/>
          <w:b w:val="false"/>
          <w:bCs w:val="false"/>
          <w:color w:val="000000"/>
          <w:sz w:val="24"/>
          <w:szCs w:val="24"/>
          <w:highlight w:val="white"/>
        </w:rPr>
        <w:t xml:space="preserve"> </w:t>
      </w:r>
      <w:r>
        <w:rPr>
          <w:rFonts w:cs="Times New Roman CYR"/>
          <w:b w:val="false"/>
          <w:bCs w:val="false"/>
          <w:color w:val="000000"/>
          <w:sz w:val="24"/>
          <w:szCs w:val="24"/>
          <w:highlight w:val="white"/>
        </w:rPr>
        <w:t xml:space="preserve">В 2017 году хозяйством приобретен силосоуборочный комбайн с зерновой приставкой, был куплен почти новый трактор МТЗ-80. 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eastAsia="Times New Roman CYR" w:cs="Times New Roman CYR" w:ascii="Times New Roman CYR" w:hAnsi="Times New Roman CYR"/>
          <w:b w:val="false"/>
          <w:bCs w:val="false"/>
          <w:color w:val="000000"/>
          <w:sz w:val="24"/>
          <w:szCs w:val="24"/>
          <w:highlight w:val="white"/>
          <w:shd w:fill="FFFFFF" w:val="clear"/>
        </w:rPr>
        <w:t>В 2018 году в хозяйстве производилась покупка техники в кредит: сеялка СЗУ-6, 3 трактора: ХТЗ-150к, МТЗ-82, МТЗ-1221, миксер — агросервис, охладитель молока ОМЗТ-7000, прицеп ПС-45. Объем инвеститиций составил 30 млн. руб.</w:t>
      </w:r>
    </w:p>
    <w:p>
      <w:pPr>
        <w:pStyle w:val="Style18"/>
        <w:pBdr>
          <w:left w:val="single" w:sz="4" w:space="1" w:color="00000A"/>
        </w:pBdr>
        <w:shd w:val="clear" w:fill="FFFFFF"/>
        <w:spacing w:lineRule="auto" w:line="276" w:before="0" w:after="200"/>
        <w:ind w:left="0" w:right="0" w:hanging="0"/>
        <w:jc w:val="both"/>
        <w:rPr/>
      </w:pPr>
      <w:r>
        <w:rPr>
          <w:rFonts w:eastAsia="Times New Roman CYR" w:cs="Times New Roman CYR" w:ascii="Times New Roman CYR" w:hAnsi="Times New Roman CYR"/>
          <w:b w:val="false"/>
          <w:bCs w:val="false"/>
          <w:color w:val="000000"/>
          <w:sz w:val="24"/>
          <w:szCs w:val="24"/>
          <w:highlight w:val="white"/>
          <w:shd w:fill="FFFFFF" w:val="clear"/>
        </w:rPr>
        <w:t xml:space="preserve"> </w:t>
      </w:r>
      <w:r>
        <w:rPr>
          <w:rFonts w:eastAsia="Times New Roman CYR" w:cs="Times New Roman CYR" w:ascii="Times New Roman CYR" w:hAnsi="Times New Roman CYR"/>
          <w:b w:val="false"/>
          <w:bCs w:val="false"/>
          <w:color w:val="000000"/>
          <w:sz w:val="24"/>
          <w:szCs w:val="24"/>
          <w:highlight w:val="white"/>
          <w:shd w:fill="FFFFFF" w:val="clear"/>
        </w:rPr>
        <w:t>В 2019 году   закуплен Посевной Комплекс, два культиватора, жатка для уборки кормовых культур и другая техника, в целом на 26,6 млн. руб.</w:t>
      </w:r>
    </w:p>
    <w:p>
      <w:pPr>
        <w:pStyle w:val="Style18"/>
        <w:pBdr>
          <w:left w:val="single" w:sz="4" w:space="1" w:color="00000A"/>
        </w:pBdr>
        <w:shd w:val="clear" w:fill="FFFFFF"/>
        <w:spacing w:lineRule="auto" w:line="276" w:before="0" w:after="200"/>
        <w:ind w:left="0" w:right="0" w:hanging="0"/>
        <w:jc w:val="both"/>
        <w:rPr>
          <w:sz w:val="24"/>
          <w:szCs w:val="24"/>
        </w:rPr>
      </w:pPr>
      <w:r>
        <w:rPr>
          <w:rFonts w:eastAsia="Times New Roman CYR" w:cs="Times New Roman CYR" w:ascii="Times New Roman CYR" w:hAnsi="Times New Roman CYR"/>
          <w:b w:val="false"/>
          <w:bCs w:val="false"/>
          <w:color w:val="000000"/>
          <w:sz w:val="24"/>
          <w:szCs w:val="24"/>
          <w:highlight w:val="white"/>
          <w:shd w:fill="FFFFFF" w:val="clear"/>
        </w:rPr>
        <w:t xml:space="preserve">В 2020 году  хозяйством приобретены в лизинг </w:t>
      </w:r>
      <w:r>
        <w:rPr>
          <w:rFonts w:eastAsia="Times New Roman CYR" w:cs="Times New Roman CYR" w:ascii="Times New Roman CYR" w:hAnsi="Times New Roman CYR"/>
          <w:b w:val="false"/>
          <w:bCs w:val="false"/>
          <w:color w:val="000000"/>
          <w:sz w:val="24"/>
          <w:szCs w:val="24"/>
          <w:highlight w:val="white"/>
          <w:shd w:fill="FFFFFF" w:val="clear"/>
          <w:lang w:val="ru-RU"/>
        </w:rPr>
        <w:t>Трактор «Кировец», Комбайн кормоуборочный,  Жатка для уборки трав</w:t>
      </w:r>
      <w:r>
        <w:rPr>
          <w:rFonts w:eastAsia="Times New Roman CYR" w:cs="Times New Roman CYR" w:ascii="Times New Roman CYR" w:hAnsi="Times New Roman CYR"/>
          <w:b w:val="false"/>
          <w:bCs w:val="false"/>
          <w:color w:val="000000"/>
          <w:sz w:val="24"/>
          <w:szCs w:val="24"/>
          <w:highlight w:val="white"/>
          <w:shd w:fill="FFFFFF" w:val="clear"/>
        </w:rPr>
        <w:t xml:space="preserve"> и другая техника,</w:t>
      </w:r>
      <w:r>
        <w:rPr>
          <w:rFonts w:eastAsia="Times New Roman CYR" w:cs="Times New Roman CYR" w:ascii="Times New Roman CYR" w:hAnsi="Times New Roman CYR"/>
          <w:b w:val="false"/>
          <w:bCs w:val="false"/>
          <w:color w:val="800000"/>
          <w:sz w:val="24"/>
          <w:szCs w:val="24"/>
          <w:highlight w:val="white"/>
          <w:shd w:fill="FFFFFF" w:val="clear"/>
        </w:rPr>
        <w:t xml:space="preserve"> </w:t>
      </w:r>
      <w:r>
        <w:rPr>
          <w:rFonts w:eastAsia="Times New Roman CYR" w:cs="Times New Roman CYR" w:ascii="Times New Roman CYR" w:hAnsi="Times New Roman CYR"/>
          <w:b w:val="false"/>
          <w:bCs w:val="false"/>
          <w:color w:val="000000"/>
          <w:sz w:val="24"/>
          <w:szCs w:val="24"/>
          <w:highlight w:val="white"/>
          <w:shd w:fill="FFFFFF" w:val="clear"/>
        </w:rPr>
        <w:t>в целом на 25,3 млн. руб.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Times New Roman CYR" w:hAnsi="Times New Roman CYR" w:eastAsia="Times New Roman CYR" w:cs="Times New Roman CYR"/>
          <w:b w:val="false"/>
          <w:b w:val="false"/>
          <w:bCs w:val="false"/>
          <w:color w:val="000000"/>
          <w:sz w:val="24"/>
          <w:szCs w:val="24"/>
          <w:highlight w:val="white"/>
        </w:rPr>
      </w:pPr>
      <w:r>
        <w:rPr>
          <w:rFonts w:eastAsia="Times New Roman CYR" w:cs="Times New Roman CYR" w:ascii="Times New Roman CYR" w:hAnsi="Times New Roman CYR"/>
          <w:b w:val="false"/>
          <w:bCs w:val="false"/>
          <w:color w:val="000000"/>
          <w:sz w:val="24"/>
          <w:szCs w:val="24"/>
          <w:highlight w:val="white"/>
        </w:rPr>
      </w:r>
    </w:p>
    <w:p>
      <w:pPr>
        <w:pStyle w:val="Normal"/>
        <w:pBdr>
          <w:left w:val="single" w:sz="4" w:space="1" w:color="00000A"/>
        </w:pBdr>
        <w:shd w:val="clear" w:fill="FFFFFF"/>
        <w:spacing w:lineRule="auto" w:line="276" w:before="0" w:after="200"/>
        <w:ind w:left="0" w:right="-83" w:firstLine="708"/>
        <w:jc w:val="both"/>
        <w:rPr/>
      </w:pPr>
      <w:r>
        <w:rPr>
          <w:rFonts w:eastAsia="Times New Roman CYR" w:cs="Times New Roman CYR"/>
          <w:b w:val="false"/>
          <w:bCs w:val="false"/>
          <w:caps w:val="false"/>
          <w:smallCaps w:val="false"/>
          <w:color w:val="000000"/>
          <w:spacing w:val="0"/>
          <w:sz w:val="24"/>
          <w:szCs w:val="24"/>
          <w:highlight w:val="white"/>
          <w:lang w:val="ru-RU"/>
        </w:rPr>
        <w:t xml:space="preserve">На ОАО </w:t>
      </w:r>
      <w:r>
        <w:rPr>
          <w:rFonts w:eastAsia="Times New Roman CYR" w:cs="Times New Roman"/>
          <w:b w:val="false"/>
          <w:bCs w:val="false"/>
          <w:caps w:val="false"/>
          <w:smallCaps w:val="false"/>
          <w:color w:val="000000"/>
          <w:spacing w:val="0"/>
          <w:sz w:val="24"/>
          <w:szCs w:val="24"/>
          <w:highlight w:val="white"/>
          <w:lang w:val="ru-RU"/>
        </w:rPr>
        <w:t>«</w:t>
      </w:r>
      <w:r>
        <w:rPr>
          <w:rFonts w:eastAsia="Times New Roman CYR" w:cs="Times New Roman CYR"/>
          <w:b w:val="false"/>
          <w:bCs w:val="false"/>
          <w:caps w:val="false"/>
          <w:smallCaps w:val="false"/>
          <w:color w:val="000000"/>
          <w:spacing w:val="0"/>
          <w:sz w:val="24"/>
          <w:szCs w:val="24"/>
          <w:highlight w:val="white"/>
          <w:lang w:val="ru-RU"/>
        </w:rPr>
        <w:t>Аньковское</w:t>
      </w:r>
      <w:r>
        <w:rPr>
          <w:rFonts w:eastAsia="Times New Roman CYR" w:cs="Times New Roman"/>
          <w:b w:val="false"/>
          <w:bCs w:val="false"/>
          <w:caps w:val="false"/>
          <w:smallCaps w:val="false"/>
          <w:color w:val="000000"/>
          <w:spacing w:val="0"/>
          <w:sz w:val="24"/>
          <w:szCs w:val="24"/>
          <w:highlight w:val="white"/>
          <w:lang w:val="ru-RU"/>
        </w:rPr>
        <w:t>» инвестирование  активно направлено на   увеличение  и модернизацию производственных площадей, в 2018г. на эти цели потрачено 7,8 млн. руб. , в 2019 г. 5 млн. руб., в 2020 году- 6,3 млн.руб.</w:t>
      </w:r>
    </w:p>
    <w:p>
      <w:pPr>
        <w:pStyle w:val="Normal"/>
        <w:pBdr>
          <w:left w:val="single" w:sz="4" w:space="1" w:color="00000A"/>
        </w:pBdr>
        <w:shd w:val="clear" w:fill="FFFFFF"/>
        <w:spacing w:lineRule="auto" w:line="240" w:before="0" w:after="200"/>
        <w:ind w:left="0" w:right="0" w:firstLine="708"/>
        <w:jc w:val="both"/>
        <w:rPr>
          <w:rFonts w:ascii="Times New Roman" w:hAnsi="Times New Roman" w:cs="Times New Roman"/>
          <w:b w:val="false"/>
          <w:b w:val="false"/>
          <w:bCs w:val="false"/>
          <w:color w:val="000000"/>
          <w:sz w:val="28"/>
          <w:szCs w:val="28"/>
        </w:rPr>
      </w:pPr>
      <w:r>
        <w:rPr>
          <w:rFonts w:eastAsia="Times New Roman CYR" w:cs="Times New Roman"/>
          <w:b w:val="false"/>
          <w:bCs w:val="false"/>
          <w:caps w:val="false"/>
          <w:smallCaps w:val="false"/>
          <w:color w:val="000000"/>
          <w:spacing w:val="0"/>
          <w:sz w:val="24"/>
          <w:szCs w:val="24"/>
          <w:highlight w:val="white"/>
          <w:lang w:val="ru-RU"/>
        </w:rPr>
        <w:t xml:space="preserve"> </w:t>
      </w:r>
      <w:r>
        <w:rPr>
          <w:rFonts w:eastAsia="Times New Roman CYR" w:cs="Times New Roman"/>
          <w:b w:val="false"/>
          <w:bCs w:val="false"/>
          <w:caps w:val="false"/>
          <w:smallCaps w:val="false"/>
          <w:color w:val="000000"/>
          <w:spacing w:val="0"/>
          <w:sz w:val="24"/>
          <w:szCs w:val="24"/>
          <w:highlight w:val="white"/>
          <w:lang w:val="ru-RU"/>
        </w:rPr>
        <w:t xml:space="preserve">В 2019 г. за счет средств областного и местного бюджетов произведена реконструкция участка  автодороги от Монастыря Сошествия Креста Животворящего до границы Ильинского муниципального района, протяженностью 0,739 км на сумму порядка 26,0 млн. рублей. </w:t>
      </w:r>
    </w:p>
    <w:p>
      <w:pPr>
        <w:pStyle w:val="Normal"/>
        <w:pBdr>
          <w:left w:val="single" w:sz="4" w:space="1" w:color="00000A"/>
        </w:pBdr>
        <w:shd w:val="clear" w:fill="FFFFFF"/>
        <w:spacing w:lineRule="auto" w:line="276" w:before="57" w:after="57"/>
        <w:ind w:left="0" w:right="0" w:firstLine="720"/>
        <w:jc w:val="both"/>
        <w:rPr>
          <w:rFonts w:ascii="Times New Roman CYR" w:hAnsi="Times New Roman CYR" w:eastAsia="Times New Roman CYR" w:cs="Times New Roman CYR"/>
          <w:b w:val="false"/>
          <w:b w:val="false"/>
          <w:bCs w:val="false"/>
          <w:caps w:val="false"/>
          <w:smallCaps w:val="false"/>
          <w:color w:val="000000"/>
          <w:spacing w:val="0"/>
          <w:sz w:val="28"/>
          <w:szCs w:val="28"/>
          <w:highlight w:val="white"/>
          <w:lang w:val="ru-RU"/>
        </w:rPr>
      </w:pPr>
      <w:r>
        <w:rPr>
          <w:rFonts w:eastAsia="Times New Roman CYR" w:cs="Times New Roman CYR" w:ascii="Times New Roman CYR" w:hAnsi="Times New Roman CYR"/>
          <w:b w:val="false"/>
          <w:bCs w:val="false"/>
          <w:caps w:val="false"/>
          <w:smallCaps w:val="false"/>
          <w:color w:val="000000"/>
          <w:spacing w:val="0"/>
          <w:sz w:val="24"/>
          <w:szCs w:val="24"/>
          <w:highlight w:val="white"/>
          <w:lang w:val="ru-RU"/>
        </w:rPr>
        <w:t>В соответствии с Программой газификации Ивановской области на 2019-2022 годы на территории Ильинского муниципального района в 2020 году построен распределительный газопровод по с.Нажерово, д.Астафьево, д.Счастливка для газификации жилья и объектов социальной сферы (стоимость работ по строительству составила 14.95 млн. рублей). Также, в 2020 году разработана проектно-сметная документация на строительство распределительного газопровода по д.Зайково, д.Денисово Малое, д.Кузяево (стоимость работ по разработке ПСД составила порядка 0,5 млн. рублей).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color w:val="800000"/>
          <w:sz w:val="24"/>
          <w:szCs w:val="24"/>
        </w:rPr>
      </w:pPr>
      <w:r>
        <w:rPr>
          <w:rFonts w:cs="Bookman Old Style" w:ascii="Bookman Old Style" w:hAnsi="Bookman Old Style"/>
          <w:color w:val="800000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center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 xml:space="preserve"> </w:t>
      </w:r>
      <w:r>
        <w:rPr>
          <w:rFonts w:cs="Bookman Old Style" w:ascii="Bookman Old Style" w:hAnsi="Bookman Old Style"/>
          <w:b/>
          <w:bCs/>
          <w:sz w:val="28"/>
          <w:szCs w:val="28"/>
        </w:rPr>
        <w:t>Достопримечательности Ильинского муниципального района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rPr/>
      </w:pPr>
      <w:r>
        <w:drawing>
          <wp:anchor behindDoc="0" distT="0" distB="0" distL="0" distR="0" simplePos="0" locked="0" layoutInCell="1" allowOverlap="1" relativeHeight="7">
            <wp:simplePos x="0" y="0"/>
            <wp:positionH relativeFrom="column">
              <wp:posOffset>-4445</wp:posOffset>
            </wp:positionH>
            <wp:positionV relativeFrom="paragraph">
              <wp:posOffset>1271270</wp:posOffset>
            </wp:positionV>
            <wp:extent cx="3832860" cy="2873375"/>
            <wp:effectExtent l="0" t="0" r="0" b="0"/>
            <wp:wrapSquare wrapText="largest"/>
            <wp:docPr id="5" name="Изображение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12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2860" cy="2873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Bookman Old Style"/>
          <w:b w:val="false"/>
          <w:i w:val="false"/>
          <w:caps w:val="false"/>
          <w:smallCaps w:val="false"/>
          <w:color w:val="333333"/>
          <w:spacing w:val="0"/>
          <w:sz w:val="24"/>
          <w:szCs w:val="24"/>
        </w:rPr>
        <w:t xml:space="preserve"> </w:t>
      </w:r>
      <w:r>
        <w:rPr>
          <w:rFonts w:cs="Bookman Old Style"/>
          <w:b w:val="false"/>
          <w:i w:val="false"/>
          <w:caps w:val="false"/>
          <w:smallCaps w:val="false"/>
          <w:color w:val="333333"/>
          <w:spacing w:val="0"/>
          <w:sz w:val="24"/>
          <w:szCs w:val="24"/>
        </w:rPr>
        <w:t>... </w:t>
        <w:br/>
        <w:t>  </w:t>
      </w:r>
      <w:r>
        <w:rPr>
          <w:rFonts w:cs="Bookman Old Style"/>
          <w:b w:val="false"/>
          <w:i w:val="false"/>
          <w:iCs w:val="false"/>
          <w:caps w:val="false"/>
          <w:smallCaps w:val="false"/>
          <w:color w:val="333333"/>
          <w:spacing w:val="0"/>
          <w:sz w:val="24"/>
          <w:szCs w:val="24"/>
        </w:rPr>
        <w:t> Особой достопримечательностью поселка Ильинское- Хованское является Большой пруд, выкопанный вручную крепостными крестьянами во времена Екатерины Великой. Площадь этого рукотворного озера - более 4-х гектаров. </w:t>
        <w:br/>
        <w:t>   На территори района много ягодных и грибных мест. Есть природные ключи. Здесь охотятся на кабанов, лосей и дичь.    Типичный Ильинский пейзаж - поля и луга, окруженные перелесками. </w:t>
        <w:br/>
        <w:br/>
        <w:t>   </w:t>
      </w:r>
      <w:r>
        <w:rPr>
          <w:rFonts w:cs="Bookman Old Style"/>
          <w:b w:val="false"/>
          <w:i w:val="false"/>
          <w:iCs w:val="false"/>
          <w:caps w:val="false"/>
          <w:smallCaps w:val="false"/>
          <w:color w:val="555555"/>
          <w:spacing w:val="0"/>
          <w:sz w:val="24"/>
          <w:szCs w:val="24"/>
        </w:rPr>
        <w:t>Краеведческий музей в поселке Ильинское-Хованское в Ивановской области – важнейший культурный центр данного региона. История его началась в 30- годах минувшего века, когда педагог Хлебницкой школы Чернявский со своими учениками начал устраивать школьный краеведческий уголок, в 1944 году признанный государственным научно-просветительным учреждением.</w:t>
      </w:r>
      <w:r>
        <w:rPr>
          <w:rFonts w:cs="Bookman Old Style"/>
          <w:b w:val="false"/>
          <w:i w:val="false"/>
          <w:iCs w:val="false"/>
          <w:caps w:val="false"/>
          <w:smallCaps w:val="false"/>
          <w:color w:val="333333"/>
          <w:spacing w:val="0"/>
          <w:sz w:val="24"/>
          <w:szCs w:val="24"/>
        </w:rPr>
        <w:br/>
        <w:br/>
      </w:r>
      <w:r>
        <w:rPr>
          <w:rFonts w:cs="Bookman Old Style"/>
          <w:b w:val="false"/>
          <w:i w:val="false"/>
          <w:iCs w:val="false"/>
          <w:caps w:val="false"/>
          <w:smallCaps w:val="false"/>
          <w:color w:val="555555"/>
          <w:spacing w:val="0"/>
          <w:sz w:val="24"/>
          <w:szCs w:val="24"/>
        </w:rPr>
        <w:t>   Краеведческий музей в поселке Ильинское-Хованское разместился в старинном здании XVIII века, это бывшее волостное управление села Ильинского.</w:t>
      </w:r>
      <w:r>
        <w:rPr>
          <w:rFonts w:cs="Bookman Old Style"/>
          <w:b w:val="false"/>
          <w:i w:val="false"/>
          <w:iCs w:val="false"/>
          <w:caps w:val="false"/>
          <w:smallCaps w:val="false"/>
          <w:color w:val="333333"/>
          <w:spacing w:val="0"/>
          <w:sz w:val="24"/>
          <w:szCs w:val="24"/>
        </w:rPr>
        <w:br/>
        <w:br/>
      </w:r>
      <w:r>
        <w:rPr>
          <w:rFonts w:cs="Bookman Old Style"/>
          <w:b w:val="false"/>
          <w:i w:val="false"/>
          <w:iCs w:val="false"/>
          <w:caps w:val="false"/>
          <w:smallCaps w:val="false"/>
          <w:color w:val="555555"/>
          <w:spacing w:val="0"/>
          <w:sz w:val="24"/>
          <w:szCs w:val="24"/>
        </w:rPr>
        <w:t xml:space="preserve">   Собрание музейного фонда состоит более чем из 15 тысяч единиц хранения, основой которого являются: коллекция редких книг, предметов быта, вооружения, этнографии, кузнечного промысла, резьбы по дереву, гончарного производства, образцы традиционной для этих мест чернолощеной посуды.    Ильинский краеведческий музей обладает уникальными коллекциями археологии и нумизматики, частью которой являются предметы фатьяновской культуры. </w:t>
      </w:r>
    </w:p>
    <w:p>
      <w:pPr>
        <w:pStyle w:val="Normal"/>
        <w:rPr>
          <w:rFonts w:ascii="Times New Roman" w:hAnsi="Times New Roman" w:cs="Bookman Old Style"/>
          <w:b w:val="false"/>
          <w:b w:val="false"/>
          <w:i w:val="false"/>
          <w:i w:val="false"/>
          <w:iCs w:val="false"/>
          <w:caps w:val="false"/>
          <w:smallCaps w:val="false"/>
          <w:color w:val="555555"/>
          <w:spacing w:val="0"/>
          <w:sz w:val="24"/>
          <w:szCs w:val="24"/>
        </w:rPr>
      </w:pPr>
      <w:r>
        <w:rPr>
          <w:rFonts w:cs="Bookman Old Style"/>
          <w:b w:val="false"/>
          <w:i w:val="false"/>
          <w:iCs w:val="false"/>
          <w:caps w:val="false"/>
          <w:smallCaps w:val="false"/>
          <w:color w:val="555555"/>
          <w:spacing w:val="0"/>
          <w:sz w:val="24"/>
          <w:szCs w:val="24"/>
        </w:rPr>
        <w:drawing>
          <wp:anchor behindDoc="0" distT="0" distB="0" distL="0" distR="0" simplePos="0" locked="0" layoutInCell="1" allowOverlap="1" relativeHeight="10">
            <wp:simplePos x="0" y="0"/>
            <wp:positionH relativeFrom="column">
              <wp:posOffset>-410210</wp:posOffset>
            </wp:positionH>
            <wp:positionV relativeFrom="paragraph">
              <wp:posOffset>164465</wp:posOffset>
            </wp:positionV>
            <wp:extent cx="3324225" cy="3074670"/>
            <wp:effectExtent l="0" t="0" r="0" b="0"/>
            <wp:wrapSquare wrapText="largest"/>
            <wp:docPr id="6" name="Изображение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11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3074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>
          <w:rFonts w:cs="Bookman Old Style"/>
          <w:b w:val="false"/>
          <w:i w:val="false"/>
          <w:iCs w:val="false"/>
          <w:caps w:val="false"/>
          <w:smallCaps w:val="false"/>
          <w:color w:val="555555"/>
          <w:spacing w:val="0"/>
          <w:sz w:val="24"/>
          <w:szCs w:val="24"/>
        </w:rPr>
        <w:t xml:space="preserve">   </w:t>
      </w:r>
      <w:r>
        <w:rPr>
          <w:rFonts w:cs="Bookman Old Style"/>
          <w:b w:val="false"/>
          <w:i w:val="false"/>
          <w:iCs w:val="false"/>
          <w:caps w:val="false"/>
          <w:smallCaps w:val="false"/>
          <w:color w:val="555555"/>
          <w:spacing w:val="0"/>
          <w:sz w:val="24"/>
          <w:szCs w:val="24"/>
        </w:rPr>
        <w:t xml:space="preserve">Ильинский дом ремесел гостеприимно открыл свои двери для всех  ильинцев в ноябре 1996 года с целью сохранения и возрождения русских традиционных ремесел, обычаев и обрядов, возвращения к народным истокам.    В настоящее время в нем работает 7 студий, где обучаются 60 человек. За время обучения (3 года) студийцы овладевают навыками  таких ремесел, как «Роспись по дереву», «Живопись и рисунок», «Плетение из бересты», «Плетение из соломки»», «Лоскутная техника», «Вязание спицами и крючком». Студийцы и мастера активно участвуют в районных , областных  и международных конкурсах и фестивалях. В выставочном зале постоянно устраиваются и действуют выставки, которые посещают школьники и их родители, а также жители и гости всего Ильинского района. </w:t>
      </w:r>
      <w:r>
        <w:rPr>
          <w:rFonts w:cs="Bookman Old Style"/>
          <w:b w:val="false"/>
          <w:i w:val="false"/>
          <w:iCs w:val="false"/>
          <w:caps w:val="false"/>
          <w:smallCaps w:val="false"/>
          <w:color w:val="333333"/>
          <w:spacing w:val="0"/>
          <w:sz w:val="24"/>
          <w:szCs w:val="24"/>
        </w:rPr>
        <w:br/>
      </w:r>
      <w:r>
        <w:rPr>
          <w:rFonts w:cs="Bookman Old Style"/>
          <w:b w:val="false"/>
          <w:i w:val="false"/>
          <w:iCs w:val="false"/>
          <w:caps w:val="false"/>
          <w:smallCaps w:val="false"/>
          <w:color w:val="555555"/>
          <w:spacing w:val="0"/>
          <w:sz w:val="24"/>
          <w:szCs w:val="24"/>
        </w:rPr>
        <w:t xml:space="preserve">   </w:t>
      </w:r>
    </w:p>
    <w:p>
      <w:pPr>
        <w:pStyle w:val="Normal"/>
        <w:rPr/>
      </w:pPr>
      <w:r>
        <w:rPr>
          <w:caps w:val="false"/>
          <w:smallCaps w:val="false"/>
          <w:color w:val="333333"/>
          <w:spacing w:val="0"/>
          <w:sz w:val="24"/>
          <w:szCs w:val="24"/>
        </w:rPr>
        <w:t>    </w:t>
      </w:r>
    </w:p>
    <w:p>
      <w:pPr>
        <w:pStyle w:val="Normal"/>
        <w:rPr/>
      </w:pPr>
      <w:r>
        <w:rPr>
          <w:caps w:val="false"/>
          <w:smallCaps w:val="false"/>
          <w:color w:val="333333"/>
          <w:spacing w:val="0"/>
          <w:sz w:val="24"/>
          <w:szCs w:val="24"/>
        </w:rPr>
        <w:t xml:space="preserve"> </w:t>
      </w:r>
      <w:r>
        <w:rPr>
          <w:b w:val="false"/>
          <w:caps w:val="false"/>
          <w:smallCaps w:val="false"/>
          <w:color w:val="333333"/>
          <w:spacing w:val="0"/>
          <w:sz w:val="24"/>
          <w:szCs w:val="24"/>
        </w:rPr>
        <w:t>На территории Ильинского района проживают два заслуженных работника культуры России (Е.В. Смолин, Л.В. Шилова).</w:t>
      </w:r>
    </w:p>
    <w:p>
      <w:pPr>
        <w:pStyle w:val="Normal"/>
        <w:rPr/>
      </w:pPr>
      <w:r>
        <w:drawing>
          <wp:anchor behindDoc="0" distT="0" distB="0" distL="0" distR="0" simplePos="0" locked="0" layoutInCell="1" allowOverlap="1" relativeHeight="8">
            <wp:simplePos x="0" y="0"/>
            <wp:positionH relativeFrom="column">
              <wp:posOffset>56515</wp:posOffset>
            </wp:positionH>
            <wp:positionV relativeFrom="paragraph">
              <wp:posOffset>400050</wp:posOffset>
            </wp:positionV>
            <wp:extent cx="4191000" cy="2721610"/>
            <wp:effectExtent l="0" t="0" r="0" b="0"/>
            <wp:wrapSquare wrapText="largest"/>
            <wp:docPr id="7" name="Изображение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13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0" t="0" r="0" b="446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2721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9">
            <wp:simplePos x="0" y="0"/>
            <wp:positionH relativeFrom="column">
              <wp:posOffset>48260</wp:posOffset>
            </wp:positionH>
            <wp:positionV relativeFrom="paragraph">
              <wp:posOffset>3756025</wp:posOffset>
            </wp:positionV>
            <wp:extent cx="4237355" cy="2378710"/>
            <wp:effectExtent l="0" t="0" r="0" b="0"/>
            <wp:wrapSquare wrapText="largest"/>
            <wp:docPr id="8" name="Изображение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14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7355" cy="2378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false"/>
          <w:caps w:val="false"/>
          <w:smallCaps w:val="false"/>
          <w:color w:val="333333"/>
          <w:spacing w:val="0"/>
          <w:sz w:val="24"/>
          <w:szCs w:val="24"/>
        </w:rPr>
        <w:br/>
      </w:r>
      <w:r>
        <w:rPr>
          <w:b w:val="false"/>
          <w:caps w:val="false"/>
          <w:smallCaps w:val="false"/>
          <w:color w:val="333333"/>
          <w:spacing w:val="0"/>
          <w:sz w:val="24"/>
          <w:szCs w:val="24"/>
        </w:rPr>
        <w:t> </w:t>
        <w:br/>
        <w:t>    В километре от деревни Антушково расположено святое место, куда стремятся паломники со всей страны. Это место Сошествия Креста Животворящего - 11 июня 1423 года. Факт зафиксирован в летописях.         На месте сошествии Креста был построен Храм, разрушенный в 40-е годы прошлого века, а ныне восстановленный и преобразованный в монастырский комплекс. Почти двести лет ведется летопись чудесных исцелений паломников к этому святому месту - ранее обездвиженных, самых разных больных, даже потерявших рассудок.     Сам Крест Животворящий ныне находится в селе Годеново, в 5-ти километрах от места сошествия. Паломники посещают по традиции обе святыни. </w:t>
        <w:br/>
        <w:t>    Второе святое место - Тихонов колодец вблизи деревни Коварчино. Это купель и ключ в лесном урочище. Целебная сила воды привлекает сюда не только желающих испить ее, но и набрать с собой. В купели в любое время года совершают омовения люди даже преклонного возраста, желающие избавиться от болезней и испытать прилив сил. </w:t>
        <w:br/>
        <w:t>    В районе действуют храмы: два - в п. Ильинское-Хованское, а так же в селах Аньково, Воскресенское, Хлебницы, Назорное, Никольское, деревне Колягино и у Креста Животворящего. Исторический облик сохранили храмовые комплексы в  сёлах Хлебницы и Воскресенское, остальные реставрировались. В 2016 году состоялось освещение Часовня в м. Щекультье, построенной в память о разрушенном храме в честь Казанской иконы Божьей Матери. Осенью 2016  года вышла в свет книга Игумена Гермогена «По святым местам земли Ильинской», в которой собрана история храмов Ильинского района.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Times New Roman" w:hAnsi="Times New Roman" w:cs="Bookman Old Style"/>
          <w:i w:val="false"/>
          <w:i w:val="false"/>
          <w:iCs w:val="false"/>
          <w:sz w:val="24"/>
          <w:szCs w:val="24"/>
        </w:rPr>
      </w:pPr>
      <w:r>
        <w:rPr>
          <w:rFonts w:cs="Bookman Old Style"/>
          <w:i w:val="false"/>
          <w:iCs w:val="fals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Times New Roman" w:hAnsi="Times New Roman" w:cs="Bookman Old Style"/>
          <w:sz w:val="24"/>
          <w:szCs w:val="24"/>
        </w:rPr>
      </w:pPr>
      <w:r>
        <w:rPr>
          <w:rFonts w:cs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Times New Roman" w:hAnsi="Times New Roman" w:cs="Bookman Old Style"/>
          <w:sz w:val="24"/>
          <w:szCs w:val="24"/>
        </w:rPr>
      </w:pPr>
      <w:r>
        <w:rPr>
          <w:rFonts w:cs="Bookman Old Style"/>
          <w:sz w:val="24"/>
          <w:szCs w:val="24"/>
        </w:rPr>
      </w:r>
      <w:r>
        <w:br w:type="page"/>
      </w:r>
    </w:p>
    <w:p>
      <w:pPr>
        <w:pStyle w:val="Normal"/>
        <w:jc w:val="center"/>
        <w:rPr/>
      </w:pPr>
      <w:r>
        <w:rPr>
          <w:b/>
          <w:bCs/>
          <w:color w:val="000000"/>
          <w:sz w:val="22"/>
          <w:szCs w:val="22"/>
        </w:rPr>
        <w:t xml:space="preserve">Паспорт «зелёной» площадки </w:t>
      </w:r>
      <w:r>
        <w:rPr>
          <w:b/>
          <w:bCs/>
          <w:color w:val="000000"/>
          <w:sz w:val="22"/>
          <w:szCs w:val="22"/>
          <w:u w:val="single"/>
        </w:rPr>
        <w:t>Земельный участок</w:t>
      </w:r>
      <w:r>
        <w:rPr>
          <w:b/>
          <w:bCs/>
          <w:color w:val="000000"/>
          <w:sz w:val="22"/>
          <w:szCs w:val="22"/>
        </w:rPr>
        <w:t>___________________________________</w:t>
      </w:r>
    </w:p>
    <w:tbl>
      <w:tblPr>
        <w:tblW w:w="10065" w:type="dxa"/>
        <w:jc w:val="left"/>
        <w:tblInd w:w="-359" w:type="dxa"/>
        <w:tblBorders>
          <w:top w:val="outset" w:sz="6" w:space="0" w:color="00000A"/>
          <w:left w:val="outset" w:sz="6" w:space="0" w:color="00000A"/>
          <w:bottom w:val="outset" w:sz="6" w:space="0" w:color="00000A"/>
          <w:right w:val="outset" w:sz="6" w:space="0" w:color="00000A"/>
          <w:insideH w:val="outset" w:sz="6" w:space="0" w:color="00000A"/>
          <w:insideV w:val="outset" w:sz="6" w:space="0" w:color="00000A"/>
        </w:tblBorders>
        <w:tblCellMar>
          <w:top w:w="15" w:type="dxa"/>
          <w:left w:w="-22" w:type="dxa"/>
          <w:bottom w:w="15" w:type="dxa"/>
          <w:right w:w="15" w:type="dxa"/>
        </w:tblCellMar>
      </w:tblPr>
      <w:tblGrid>
        <w:gridCol w:w="7655"/>
        <w:gridCol w:w="2409"/>
      </w:tblGrid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Класс объекта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Земельный участок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Кадастровая стоимость участка (руб.)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FF0000"/>
                <w:sz w:val="22"/>
                <w:szCs w:val="22"/>
              </w:rPr>
            </w:pPr>
            <w:r>
              <w:rPr>
                <w:color w:val="FF0000"/>
                <w:sz w:val="22"/>
                <w:szCs w:val="22"/>
              </w:rPr>
              <w:t>1 357 761,30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Категория земель (формулировка в соответствии с Земельным Кодексом РФ)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Земли промышленности, транспорта и иного назначения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Назначение земельного участка (промышленное, жилищное, общественное, сельскохозяйственное использование или любое)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Промышленное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Описание земельного участка (форма, рельеф и т.п.)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Прямоугольной формы, рельеф - ровный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Площадь (га)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28,1 га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  <w:u w:val="single"/>
              </w:rPr>
              <w:t>Описание местоположение объекта</w:t>
            </w:r>
            <w:r>
              <w:rPr>
                <w:color w:val="000000"/>
                <w:sz w:val="22"/>
                <w:szCs w:val="22"/>
              </w:rPr>
              <w:t xml:space="preserve">                                                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jc w:val="both"/>
              <w:rPr>
                <w:sz w:val="22"/>
                <w:szCs w:val="22"/>
                <w:highlight w:val="black"/>
              </w:rPr>
            </w:pPr>
            <w:r>
              <w:rPr>
                <w:sz w:val="22"/>
                <w:szCs w:val="22"/>
                <w:highlight w:val="black"/>
              </w:rPr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Район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Ильинский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Населенный пункт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п. Ильинское-Хованское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 xml:space="preserve">Собственник                                                                                      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>Государственная собственность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  <w:u w:val="single"/>
              </w:rPr>
              <w:t>Контактное лицо</w:t>
            </w:r>
            <w:r>
              <w:rPr>
                <w:color w:val="000000"/>
                <w:sz w:val="22"/>
                <w:szCs w:val="22"/>
              </w:rPr>
              <w:t xml:space="preserve"> (Ф.И.О.)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Васютинский Сергей Иванович, глава Ильинского муниципального района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Координаты для контакта 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Тел. 8(49353) 2-12-04, факс 8(49353) 2-15-05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 xml:space="preserve">Первичное назначение объекта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Аэродром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>Возможное направление использования участка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jc w:val="both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>Строительство производственных объектов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  <w:u w:val="single"/>
              </w:rPr>
              <w:t>Инженерные коммуникации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</w:rPr>
              <w:t xml:space="preserve">Водопровод (наличие, возможность подключения, </w:t>
            </w:r>
            <w:r>
              <w:rPr>
                <w:b/>
                <w:bCs/>
                <w:color w:val="000000"/>
                <w:sz w:val="22"/>
                <w:szCs w:val="22"/>
              </w:rPr>
              <w:t>расстояние до точки подключения</w:t>
            </w:r>
            <w:r>
              <w:rPr>
                <w:color w:val="000000"/>
                <w:sz w:val="22"/>
                <w:szCs w:val="22"/>
              </w:rPr>
              <w:t>, возможность бурения скважин)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Ближайшая сеть – 500м 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</w:rPr>
              <w:t xml:space="preserve">Электроэнергия (имеющаяся мощность в наличии, возможность подключения, </w:t>
            </w:r>
            <w:r>
              <w:rPr>
                <w:b/>
                <w:bCs/>
                <w:color w:val="000000"/>
                <w:sz w:val="22"/>
                <w:szCs w:val="22"/>
              </w:rPr>
              <w:t>расстояние до точки подключения</w:t>
            </w:r>
            <w:r>
              <w:rPr>
                <w:color w:val="000000"/>
                <w:sz w:val="22"/>
                <w:szCs w:val="22"/>
              </w:rPr>
              <w:t>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2*10 МВт, расстояние до ближайшей сети – 500 м.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</w:rPr>
              <w:t xml:space="preserve">Отопление (состояние, возможность подключения, </w:t>
            </w:r>
            <w:r>
              <w:rPr>
                <w:b/>
                <w:bCs/>
                <w:color w:val="000000"/>
                <w:sz w:val="22"/>
                <w:szCs w:val="22"/>
              </w:rPr>
              <w:t>расстояние до точки подключения</w:t>
            </w:r>
            <w:r>
              <w:rPr>
                <w:color w:val="000000"/>
                <w:sz w:val="22"/>
                <w:szCs w:val="22"/>
              </w:rPr>
              <w:t>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Ближайшая сеть – 400 м.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</w:rPr>
              <w:t xml:space="preserve">Газ (имеющаяся мощность в наличии, возможность подключения, </w:t>
            </w:r>
            <w:r>
              <w:rPr>
                <w:b/>
                <w:bCs/>
                <w:color w:val="000000"/>
                <w:sz w:val="22"/>
                <w:szCs w:val="22"/>
              </w:rPr>
              <w:t>расстояние до точки подключения</w:t>
            </w:r>
            <w:r>
              <w:rPr>
                <w:color w:val="000000"/>
                <w:sz w:val="22"/>
                <w:szCs w:val="22"/>
              </w:rPr>
              <w:t>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/>
            </w:pPr>
            <w:r>
              <w:rPr>
                <w:color w:val="000000"/>
                <w:sz w:val="22"/>
                <w:szCs w:val="22"/>
              </w:rPr>
              <w:t>10 000 м</w:t>
            </w:r>
            <w:r>
              <w:rPr>
                <w:color w:val="000000"/>
                <w:sz w:val="22"/>
                <w:szCs w:val="22"/>
                <w:vertAlign w:val="superscript"/>
              </w:rPr>
              <w:t>3</w:t>
            </w:r>
            <w:r>
              <w:rPr>
                <w:color w:val="000000"/>
                <w:sz w:val="22"/>
                <w:szCs w:val="22"/>
              </w:rPr>
              <w:t>/час</w:t>
            </w:r>
          </w:p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Ближайшая сеть - 400 м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</w:rPr>
              <w:t xml:space="preserve">Канализация (состояние, возможность подключения, </w:t>
            </w:r>
            <w:r>
              <w:rPr>
                <w:b/>
                <w:bCs/>
                <w:color w:val="000000"/>
                <w:sz w:val="22"/>
                <w:szCs w:val="22"/>
              </w:rPr>
              <w:t>расстояние до точки подключения</w:t>
            </w:r>
            <w:r>
              <w:rPr>
                <w:color w:val="000000"/>
                <w:sz w:val="22"/>
                <w:szCs w:val="22"/>
              </w:rPr>
              <w:t>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Ближайшая сеть – 300 м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  <w:u w:val="single"/>
              </w:rPr>
              <w:t>Подъездные пути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Собственные подъездные пути (имеются, асфальтная или грунтовая дорога, по пересечённой местности, отсутствуют)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Имеются, грунтовая дорога-0 км., асфальтовая -0,4 км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Собственная железнодорожная ветка (имеется, отсутствует)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Отсутствуют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Расстояние до основных автомагистралей, наименование автомагистралей (км)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Ростов-Иваново- Н.Новгогод 2 км.</w:t>
            </w:r>
          </w:p>
        </w:tc>
      </w:tr>
      <w:tr>
        <w:trPr>
          <w:trHeight w:val="345" w:hRule="atLeast"/>
        </w:trPr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Расстояние до ближайшей ж/д станции (км)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53 км. - г. Тейково Ивановской области;</w:t>
            </w:r>
          </w:p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45 км. – г. Ростов Ярославской области</w:t>
            </w:r>
          </w:p>
        </w:tc>
      </w:tr>
      <w:tr>
        <w:trPr>
          <w:trHeight w:val="345" w:hRule="atLeast"/>
        </w:trPr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Расстояние до возможной точки врезки в ж/д пути (км)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50 км.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Расстояние до ближайшего жилья (км)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0,5 км.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</w:rPr>
              <w:t>Картографические материалы (карта расположения объекта на местности, либо кадастровый план территории) по возможности кадастровые выписки (</w:t>
            </w:r>
            <w:r>
              <w:rPr>
                <w:sz w:val="22"/>
                <w:szCs w:val="22"/>
              </w:rPr>
              <w:t xml:space="preserve">Формат </w:t>
            </w:r>
            <w:r>
              <w:rPr>
                <w:sz w:val="22"/>
                <w:szCs w:val="22"/>
                <w:lang w:val="en-US"/>
              </w:rPr>
              <w:t>JPG</w:t>
            </w:r>
            <w:r>
              <w:rPr>
                <w:sz w:val="22"/>
                <w:szCs w:val="22"/>
              </w:rPr>
              <w:t>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Карта расположения объекта прилагается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</w:rPr>
              <w:t>Фотография объекта (</w:t>
            </w:r>
            <w:r>
              <w:rPr>
                <w:sz w:val="22"/>
                <w:szCs w:val="22"/>
              </w:rPr>
              <w:t xml:space="preserve">Формат </w:t>
            </w:r>
            <w:r>
              <w:rPr>
                <w:sz w:val="22"/>
                <w:szCs w:val="22"/>
                <w:lang w:val="en-US"/>
              </w:rPr>
              <w:t>JPG</w:t>
            </w:r>
            <w:r>
              <w:rPr>
                <w:sz w:val="22"/>
                <w:szCs w:val="22"/>
              </w:rPr>
              <w:t>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Прилагается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 xml:space="preserve">Юридическая документация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</w:tcPr>
          <w:p>
            <w:pPr>
              <w:pStyle w:val="Normal"/>
              <w:spacing w:before="280" w:after="280"/>
              <w:jc w:val="both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Наименование и номер документа (договор аренды, свидетельство о праве собственности)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Нет</w:t>
            </w:r>
          </w:p>
        </w:tc>
      </w:tr>
      <w:tr>
        <w:trPr>
          <w:trHeight w:val="320" w:hRule="atLeast"/>
        </w:trPr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Вид права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Государственная собственность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Обременения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Нет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Процент готовности (наличие или стадия готовности землеустроительной документации)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100% 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Предполагаемая форма участия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Аренда или собственность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Дополнительные сведения (длительность прохождения административных процедур и т.п.)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30-60 дней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b/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Дата подготовки сведений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31.01.2019 г.</w:t>
            </w:r>
          </w:p>
        </w:tc>
      </w:tr>
    </w:tbl>
    <w:p>
      <w:pPr>
        <w:pStyle w:val="Normal"/>
        <w:spacing w:before="280" w:after="280"/>
        <w:rPr>
          <w:color w:val="000000"/>
        </w:rPr>
      </w:pPr>
      <w:r>
        <w:rPr>
          <w:color w:val="000000"/>
        </w:rPr>
      </w:r>
    </w:p>
    <w:p>
      <w:pPr>
        <w:sectPr>
          <w:footerReference w:type="default" r:id="rId17"/>
          <w:type w:val="nextPage"/>
          <w:pgSz w:w="11906" w:h="16838"/>
          <w:pgMar w:left="1110" w:right="567" w:header="0" w:top="420" w:footer="709" w:bottom="851" w:gutter="0"/>
          <w:pgNumType w:fmt="decimal"/>
          <w:formProt w:val="false"/>
          <w:textDirection w:val="lrTb"/>
          <w:docGrid w:type="default" w:linePitch="360" w:charSpace="2047"/>
        </w:sect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Фотография зеленой площадки (Ильинский муниципальный район, п. Ильинское-Хованское)</w:t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jc w:val="center"/>
        <w:rPr/>
      </w:pPr>
      <w:r>
        <w:rPr/>
        <w:drawing>
          <wp:inline distT="0" distB="0" distL="0" distR="0">
            <wp:extent cx="9487535" cy="5363210"/>
            <wp:effectExtent l="0" t="0" r="0" b="0"/>
            <wp:docPr id="9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7535" cy="5363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footerReference w:type="default" r:id="rId19"/>
          <w:type w:val="nextPage"/>
          <w:pgSz w:orient="landscape" w:w="16838" w:h="11906"/>
          <w:pgMar w:left="567" w:right="567" w:header="0" w:top="1418" w:footer="709" w:bottom="766" w:gutter="0"/>
          <w:pgNumType w:fmt="decimal"/>
          <w:formProt w:val="false"/>
          <w:textDirection w:val="lrTb"/>
          <w:docGrid w:type="default" w:linePitch="360" w:charSpace="2047"/>
        </w:sectPr>
        <w:pStyle w:val="Normal"/>
        <w:jc w:val="center"/>
        <w:rPr>
          <w:bCs/>
          <w:sz w:val="24"/>
          <w:szCs w:val="24"/>
        </w:rPr>
      </w:pPr>
      <w:r>
        <w:rPr>
          <w:bCs/>
          <w:sz w:val="24"/>
          <w:szCs w:val="24"/>
        </w:rPr>
        <w:t>Границы участка обозначены желтой линией</w:t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Участок №1. Ильинский муниципальный район, п. Ильинское-Хованское</w:t>
      </w:r>
    </w:p>
    <w:p>
      <w:pPr>
        <w:pStyle w:val="Normal"/>
        <w:jc w:val="center"/>
        <w:rPr>
          <w:b/>
          <w:b/>
          <w:bCs/>
        </w:rPr>
      </w:pPr>
      <w:r>
        <w:rPr>
          <w:b/>
          <w:bCs/>
        </w:rPr>
        <w:t>Площадь участка – 28,1 га</w:t>
      </w:r>
    </w:p>
    <w:p>
      <w:pPr>
        <w:pStyle w:val="Normal"/>
        <w:jc w:val="center"/>
        <w:rPr/>
      </w:pPr>
      <w:r>
        <w:rPr/>
        <w:t>Земли промышленности и транспорта. Текущий владелец – государственная собственность</w:t>
      </w:r>
    </w:p>
    <w:p>
      <w:pPr>
        <w:pStyle w:val="Normal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Normal"/>
        <w:rPr/>
      </w:pPr>
      <w:r>
        <w:rPr/>
        <w:drawing>
          <wp:inline distT="0" distB="0" distL="0" distR="0">
            <wp:extent cx="6268085" cy="6220460"/>
            <wp:effectExtent l="0" t="0" r="0" b="0"/>
            <wp:docPr id="10" name="Рисунок 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3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8085" cy="622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left="0" w:right="426" w:hanging="0"/>
        <w:jc w:val="both"/>
        <w:rPr/>
      </w:pPr>
      <w:r>
        <w:rPr>
          <w:b/>
          <w:bCs/>
          <w:color w:val="FF0000"/>
          <w:sz w:val="24"/>
          <w:szCs w:val="24"/>
        </w:rPr>
        <w:t>Электроэнергия</w:t>
      </w:r>
      <w:r>
        <w:rPr>
          <w:sz w:val="24"/>
          <w:szCs w:val="24"/>
        </w:rPr>
        <w:tab/>
        <w:tab/>
        <w:tab/>
      </w:r>
      <w:r>
        <w:rPr>
          <w:i/>
          <w:iCs/>
          <w:sz w:val="24"/>
          <w:szCs w:val="24"/>
        </w:rPr>
        <w:t>-2х10 МВт, расстояние до ближайшей сети – 500 м</w:t>
      </w:r>
    </w:p>
    <w:p>
      <w:pPr>
        <w:pStyle w:val="Normal"/>
        <w:ind w:left="0" w:right="426" w:hanging="0"/>
        <w:jc w:val="both"/>
        <w:rPr/>
      </w:pPr>
      <w:r>
        <w:rPr>
          <w:b/>
          <w:bCs/>
          <w:color w:val="006600"/>
          <w:sz w:val="24"/>
          <w:szCs w:val="24"/>
        </w:rPr>
        <w:t>Водоснабжение</w:t>
      </w:r>
      <w:r>
        <w:rPr>
          <w:b/>
          <w:bCs/>
          <w:sz w:val="24"/>
          <w:szCs w:val="24"/>
        </w:rPr>
        <w:tab/>
        <w:tab/>
        <w:tab/>
      </w:r>
      <w:r>
        <w:rPr>
          <w:sz w:val="24"/>
          <w:szCs w:val="24"/>
        </w:rPr>
        <w:t>-</w:t>
      </w:r>
      <w:r>
        <w:rPr>
          <w:i/>
          <w:iCs/>
          <w:sz w:val="24"/>
          <w:szCs w:val="24"/>
        </w:rPr>
        <w:t>Ближайшая сеть – 500 м</w:t>
      </w:r>
    </w:p>
    <w:p>
      <w:pPr>
        <w:pStyle w:val="Normal"/>
        <w:ind w:left="0" w:right="426" w:hanging="0"/>
        <w:jc w:val="both"/>
        <w:rPr/>
      </w:pPr>
      <w:r>
        <w:rPr>
          <w:b/>
          <w:bCs/>
          <w:color w:val="663300"/>
          <w:sz w:val="24"/>
          <w:szCs w:val="24"/>
        </w:rPr>
        <w:t>Канализация</w:t>
      </w:r>
      <w:r>
        <w:rPr>
          <w:i/>
          <w:iCs/>
          <w:sz w:val="24"/>
          <w:szCs w:val="24"/>
        </w:rPr>
        <w:tab/>
        <w:tab/>
        <w:tab/>
        <w:t>- Ближайшая сеть – 300 м</w:t>
      </w:r>
    </w:p>
    <w:p>
      <w:pPr>
        <w:pStyle w:val="Normal"/>
        <w:ind w:left="0" w:right="426" w:hanging="0"/>
        <w:jc w:val="both"/>
        <w:rPr/>
      </w:pPr>
      <w:r>
        <w:rPr>
          <w:b/>
          <w:bCs/>
          <w:color w:val="E36C0A"/>
          <w:sz w:val="24"/>
          <w:szCs w:val="24"/>
        </w:rPr>
        <w:t>Газоснабжение</w:t>
      </w:r>
      <w:r>
        <w:rPr>
          <w:i/>
          <w:iCs/>
          <w:sz w:val="24"/>
          <w:szCs w:val="24"/>
        </w:rPr>
        <w:tab/>
        <w:tab/>
        <w:tab/>
        <w:t>- Мощность – 10000 м</w:t>
      </w:r>
      <w:r>
        <w:rPr>
          <w:i/>
          <w:iCs/>
          <w:sz w:val="24"/>
          <w:szCs w:val="24"/>
          <w:vertAlign w:val="superscript"/>
        </w:rPr>
        <w:t>3</w:t>
      </w:r>
      <w:r>
        <w:rPr>
          <w:i/>
          <w:iCs/>
          <w:sz w:val="24"/>
          <w:szCs w:val="24"/>
        </w:rPr>
        <w:t>/час, ближайшая сеть – 400 м</w:t>
      </w:r>
    </w:p>
    <w:p>
      <w:pPr>
        <w:pStyle w:val="Normal"/>
        <w:ind w:left="0" w:right="285" w:hanging="0"/>
        <w:jc w:val="both"/>
        <w:rPr/>
      </w:pPr>
      <w:r>
        <w:rPr>
          <w:b/>
          <w:bCs/>
          <w:sz w:val="24"/>
          <w:szCs w:val="24"/>
        </w:rPr>
        <w:t>Транспортная доступность</w:t>
      </w:r>
      <w:r>
        <w:rPr>
          <w:i/>
          <w:iCs/>
          <w:sz w:val="24"/>
          <w:szCs w:val="24"/>
        </w:rPr>
        <w:tab/>
        <w:t>- Автодорога с а/б покрытием – 400 м</w:t>
      </w:r>
    </w:p>
    <w:p>
      <w:pPr>
        <w:pStyle w:val="Normal"/>
        <w:ind w:left="2820" w:right="285" w:firstLine="720"/>
        <w:jc w:val="both"/>
        <w:rPr>
          <w:i/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 xml:space="preserve"> </w:t>
      </w:r>
      <w:r>
        <w:rPr>
          <w:i/>
          <w:iCs/>
          <w:sz w:val="24"/>
          <w:szCs w:val="24"/>
        </w:rPr>
        <w:t xml:space="preserve">ближайшие ж/д станции: </w:t>
      </w:r>
    </w:p>
    <w:p>
      <w:pPr>
        <w:pStyle w:val="Normal"/>
        <w:ind w:left="2820" w:right="285" w:firstLine="720"/>
        <w:jc w:val="both"/>
        <w:rPr>
          <w:i/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 xml:space="preserve"> </w:t>
      </w:r>
      <w:r>
        <w:rPr>
          <w:i/>
          <w:iCs/>
          <w:sz w:val="24"/>
          <w:szCs w:val="24"/>
        </w:rPr>
        <w:t xml:space="preserve">г. Тейково (Ивановская обл.)  – 53 км, </w:t>
      </w:r>
    </w:p>
    <w:p>
      <w:pPr>
        <w:pStyle w:val="Normal"/>
        <w:ind w:left="2820" w:right="285" w:firstLine="720"/>
        <w:jc w:val="both"/>
        <w:rPr>
          <w:i/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>г. Ростов (Ярославская обл.) – 45 км</w:t>
      </w:r>
      <w:r>
        <w:br w:type="page"/>
      </w:r>
    </w:p>
    <w:p>
      <w:pPr>
        <w:pStyle w:val="Normal"/>
        <w:widowControl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jc w:val="center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before="280" w:after="280"/>
        <w:ind w:left="708" w:right="0" w:hanging="0"/>
        <w:rPr/>
      </w:pPr>
      <w:r>
        <w:rPr>
          <w:b/>
          <w:bCs/>
          <w:color w:val="000000"/>
          <w:sz w:val="22"/>
          <w:szCs w:val="22"/>
        </w:rPr>
        <w:t xml:space="preserve">Паспорт «зелёной» площадки </w:t>
      </w:r>
      <w:r>
        <w:rPr>
          <w:b/>
          <w:bCs/>
          <w:color w:val="000000"/>
          <w:sz w:val="22"/>
          <w:szCs w:val="22"/>
          <w:u w:val="single"/>
        </w:rPr>
        <w:t>Земельный участок</w:t>
      </w:r>
      <w:r>
        <w:rPr>
          <w:b/>
          <w:bCs/>
          <w:color w:val="000000"/>
          <w:sz w:val="22"/>
          <w:szCs w:val="22"/>
        </w:rPr>
        <w:t>________________________</w:t>
      </w:r>
    </w:p>
    <w:tbl>
      <w:tblPr>
        <w:tblW w:w="9654" w:type="dxa"/>
        <w:jc w:val="left"/>
        <w:tblInd w:w="-746" w:type="dxa"/>
        <w:tblBorders>
          <w:top w:val="outset" w:sz="6" w:space="0" w:color="00000A"/>
          <w:left w:val="outset" w:sz="6" w:space="0" w:color="00000A"/>
          <w:bottom w:val="outset" w:sz="6" w:space="0" w:color="00000A"/>
          <w:right w:val="outset" w:sz="6" w:space="0" w:color="00000A"/>
          <w:insideH w:val="outset" w:sz="6" w:space="0" w:color="00000A"/>
          <w:insideV w:val="outset" w:sz="6" w:space="0" w:color="00000A"/>
        </w:tblBorders>
        <w:tblCellMar>
          <w:top w:w="15" w:type="dxa"/>
          <w:left w:w="-22" w:type="dxa"/>
          <w:bottom w:w="15" w:type="dxa"/>
          <w:right w:w="15" w:type="dxa"/>
        </w:tblCellMar>
      </w:tblPr>
      <w:tblGrid>
        <w:gridCol w:w="6110"/>
        <w:gridCol w:w="3543"/>
      </w:tblGrid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Класс объекта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Земельный участок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Кадастровая стоимость участка (руб.)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FF0000"/>
                <w:sz w:val="22"/>
                <w:szCs w:val="22"/>
              </w:rPr>
            </w:pPr>
            <w:r>
              <w:rPr>
                <w:color w:val="FF0000"/>
                <w:sz w:val="22"/>
                <w:szCs w:val="22"/>
              </w:rPr>
              <w:t>Ориентировочная кадастровая стоимость 14 000 000,00 руб.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Категория земель (формулировка в соответствии с Земельным Кодексом РФ)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Земли населенных пунктов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Назначение земельного участка (промышленное, жилищное, общественное, сельскохозяйственное использование или любое)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Промышленное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Описание земельного участка (форма, рельеф и т.п.)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Территория бывшего крахмального завода, неправильной формы, рельеф - ровный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Площадь (га)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10,0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  <w:u w:val="single"/>
              </w:rPr>
              <w:t>Описание местоположение объекта</w:t>
            </w:r>
            <w:r>
              <w:rPr>
                <w:color w:val="000000"/>
                <w:sz w:val="22"/>
                <w:szCs w:val="22"/>
              </w:rPr>
              <w:t xml:space="preserve">                                                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jc w:val="both"/>
              <w:rPr>
                <w:sz w:val="22"/>
                <w:szCs w:val="22"/>
                <w:highlight w:val="black"/>
              </w:rPr>
            </w:pPr>
            <w:r>
              <w:rPr>
                <w:sz w:val="22"/>
                <w:szCs w:val="22"/>
                <w:highlight w:val="black"/>
              </w:rPr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Район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Ильинский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Населенный пункт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с. Ивашево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 xml:space="preserve">Собственник                                                                                      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jc w:val="both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>Государственная собственность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  <w:u w:val="single"/>
              </w:rPr>
              <w:t>Контактное лицо</w:t>
            </w:r>
            <w:r>
              <w:rPr>
                <w:color w:val="000000"/>
                <w:sz w:val="22"/>
                <w:szCs w:val="22"/>
              </w:rPr>
              <w:t xml:space="preserve"> (Ф.И.О.)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Касимова Елена Владимировна – глава Ивашевского  сельского поселения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Координаты для контакта 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Тел./факс 8(49353) 2-52-18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 xml:space="preserve">Первичное назначение объекта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Крахмальный завод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>Возможное направление использования участка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jc w:val="both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>Строительство производственных объектов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  <w:u w:val="single"/>
              </w:rPr>
              <w:t>Инженерные коммуникации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</w:rPr>
              <w:t xml:space="preserve">Водопровод (наличие, возможность подключения, </w:t>
            </w:r>
            <w:r>
              <w:rPr>
                <w:b/>
                <w:bCs/>
                <w:color w:val="000000"/>
                <w:sz w:val="22"/>
                <w:szCs w:val="22"/>
              </w:rPr>
              <w:t>расстояние до точки подключения</w:t>
            </w:r>
            <w:r>
              <w:rPr>
                <w:color w:val="000000"/>
                <w:sz w:val="22"/>
                <w:szCs w:val="22"/>
              </w:rPr>
              <w:t>, возможность бурения скважин)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Артезианская скважина на территории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</w:rPr>
              <w:t xml:space="preserve">Электроэнергия (имеющаяся мощность в наличии, возможность подключения, </w:t>
            </w:r>
            <w:r>
              <w:rPr>
                <w:b/>
                <w:bCs/>
                <w:color w:val="000000"/>
                <w:sz w:val="22"/>
                <w:szCs w:val="22"/>
              </w:rPr>
              <w:t>расстояние до точки подключения</w:t>
            </w:r>
            <w:r>
              <w:rPr>
                <w:color w:val="000000"/>
                <w:sz w:val="22"/>
                <w:szCs w:val="22"/>
              </w:rPr>
              <w:t>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Непосредственно рядом с территорией площадки проходит линия ВЛ-10 кВ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</w:rPr>
              <w:t xml:space="preserve">Отопление (состояние, возможность подключения, </w:t>
            </w:r>
            <w:r>
              <w:rPr>
                <w:b/>
                <w:bCs/>
                <w:color w:val="000000"/>
                <w:sz w:val="22"/>
                <w:szCs w:val="22"/>
              </w:rPr>
              <w:t>расстояние до точки подключения</w:t>
            </w:r>
            <w:r>
              <w:rPr>
                <w:color w:val="000000"/>
                <w:sz w:val="22"/>
                <w:szCs w:val="22"/>
              </w:rPr>
              <w:t>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Ближайшая сеть – 8,0 км. (п. Ильинское-Хованское)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</w:rPr>
              <w:t xml:space="preserve">Газ (имеющаяся мощность в наличии, возможность подключения, </w:t>
            </w:r>
            <w:r>
              <w:rPr>
                <w:b/>
                <w:bCs/>
                <w:color w:val="000000"/>
                <w:sz w:val="22"/>
                <w:szCs w:val="22"/>
              </w:rPr>
              <w:t>расстояние до точки подключения</w:t>
            </w:r>
            <w:r>
              <w:rPr>
                <w:color w:val="000000"/>
                <w:sz w:val="22"/>
                <w:szCs w:val="22"/>
              </w:rPr>
              <w:t>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Ближайшая сеть- межпоселковый газопровод от газопровода «ГРС Ильинское- с. Аньково» до с. Ивашево, распределительный газопровод по с. Ивашево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</w:rPr>
              <w:t xml:space="preserve">Канализация (состояние, возможность подключения, </w:t>
            </w:r>
            <w:r>
              <w:rPr>
                <w:b/>
                <w:bCs/>
                <w:color w:val="000000"/>
                <w:sz w:val="22"/>
                <w:szCs w:val="22"/>
              </w:rPr>
              <w:t>расстояние до точки подключения</w:t>
            </w:r>
            <w:r>
              <w:rPr>
                <w:color w:val="000000"/>
                <w:sz w:val="22"/>
                <w:szCs w:val="22"/>
              </w:rPr>
              <w:t>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Ближайшая централизованная сеть – 8,0 км. (п. Ильинское-Хованское), пруды-отстойники – 0,5 км. севернее площадки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  <w:u w:val="single"/>
              </w:rPr>
              <w:t>Подъездные пути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Собственные подъездные пути (имеются, асфальтная или грунтовая дорога, по пересечённой местности, отсутствуют)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Имеются (грунтовая дорога)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Собственная железнодорожная ветка (имеется, отсутствует)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Отсутствует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Расстояние до основных автомагистралей, наименование автомагистралей (км)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Ростов-Иваново-Н.Новгород 8,0 км.</w:t>
            </w:r>
          </w:p>
        </w:tc>
      </w:tr>
      <w:tr>
        <w:trPr>
          <w:trHeight w:val="345" w:hRule="atLeast"/>
        </w:trPr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Расстояние до ближайшей ж/д станции (км)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48 км. – г. Тейково Ивановской области,</w:t>
            </w:r>
          </w:p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53 км. – г. Ростов Ярославской области</w:t>
            </w:r>
          </w:p>
        </w:tc>
      </w:tr>
      <w:tr>
        <w:trPr>
          <w:trHeight w:val="345" w:hRule="atLeast"/>
        </w:trPr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Расстояние до возможной точки врезки в ж/д пути (км)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58 км.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Расстояние до ближайшего жилья (км)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0,1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</w:rPr>
              <w:t>Картографические материалы (карта расположения объекта на местности, либо кадастровый план территории) по возможности кадастровые выписки(</w:t>
            </w:r>
            <w:r>
              <w:rPr>
                <w:sz w:val="22"/>
                <w:szCs w:val="22"/>
              </w:rPr>
              <w:t xml:space="preserve"> Формат </w:t>
            </w:r>
            <w:r>
              <w:rPr>
                <w:sz w:val="22"/>
                <w:szCs w:val="22"/>
                <w:lang w:val="en-US"/>
              </w:rPr>
              <w:t>JPG</w:t>
            </w:r>
            <w:r>
              <w:rPr>
                <w:sz w:val="22"/>
                <w:szCs w:val="22"/>
              </w:rPr>
              <w:t>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Карта расположения объекта прилагается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</w:rPr>
              <w:t>Фотография объекта (</w:t>
            </w:r>
            <w:r>
              <w:rPr>
                <w:sz w:val="22"/>
                <w:szCs w:val="22"/>
              </w:rPr>
              <w:t xml:space="preserve">Формат </w:t>
            </w:r>
            <w:r>
              <w:rPr>
                <w:sz w:val="22"/>
                <w:szCs w:val="22"/>
                <w:lang w:val="en-US"/>
              </w:rPr>
              <w:t>JPG</w:t>
            </w:r>
            <w:r>
              <w:rPr>
                <w:sz w:val="22"/>
                <w:szCs w:val="22"/>
              </w:rPr>
              <w:t>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Прилагается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 xml:space="preserve">Юридическая документация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</w:tcPr>
          <w:p>
            <w:pPr>
              <w:pStyle w:val="Normal"/>
              <w:spacing w:before="280" w:after="280"/>
              <w:jc w:val="both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Наименование и номер документа (договор аренды, свидетельство о праве собственности)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Нет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Вид права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Государственная собственность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Обременения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Часть земельного участка расположена в водоохраной зоне реки Ухтома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Процент готовности (наличие или стадия готовности землеустроительной документации)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0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Предполагаемая форма участия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Аренда или собственность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Дополнительные сведения (длительность прохождения административных процедур и т.п.)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30-90 дней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b/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Дата подготовки сведений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31.01.2019 г.</w:t>
            </w:r>
          </w:p>
        </w:tc>
      </w:tr>
    </w:tbl>
    <w:p>
      <w:pPr>
        <w:sectPr>
          <w:footerReference w:type="default" r:id="rId21"/>
          <w:type w:val="nextPage"/>
          <w:pgSz w:w="11906" w:h="16838"/>
          <w:pgMar w:left="1418" w:right="567" w:header="0" w:top="567" w:footer="709" w:bottom="766" w:gutter="0"/>
          <w:pgNumType w:fmt="decimal"/>
          <w:formProt w:val="false"/>
          <w:textDirection w:val="lrTb"/>
          <w:docGrid w:type="default" w:linePitch="360" w:charSpace="2047"/>
        </w:sectPr>
      </w:pP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Фотография зеленой площадки (Ильинский муниципальный район, с. Ивашево)</w:t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jc w:val="center"/>
        <w:rPr/>
      </w:pPr>
      <w:r>
        <w:rPr/>
        <w:drawing>
          <wp:inline distT="0" distB="0" distL="0" distR="0">
            <wp:extent cx="9087485" cy="5125085"/>
            <wp:effectExtent l="0" t="0" r="0" b="0"/>
            <wp:docPr id="11" name="Изображение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3" descr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7485" cy="5125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footerReference w:type="default" r:id="rId23"/>
          <w:type w:val="nextPage"/>
          <w:pgSz w:orient="landscape" w:w="16838" w:h="11906"/>
          <w:pgMar w:left="567" w:right="567" w:header="0" w:top="1418" w:footer="709" w:bottom="766" w:gutter="0"/>
          <w:pgNumType w:fmt="decimal"/>
          <w:formProt w:val="false"/>
          <w:textDirection w:val="lrTb"/>
          <w:docGrid w:type="default" w:linePitch="360" w:charSpace="2047"/>
        </w:sectPr>
        <w:pStyle w:val="Normal"/>
        <w:jc w:val="center"/>
        <w:rPr>
          <w:bCs/>
          <w:sz w:val="24"/>
          <w:szCs w:val="24"/>
        </w:rPr>
      </w:pPr>
      <w:r>
        <w:rPr>
          <w:bCs/>
          <w:sz w:val="24"/>
          <w:szCs w:val="24"/>
        </w:rPr>
        <w:t>Границы участка обозначены желтой линией</w:t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Участок №1. Ильинский муниципальный район, с. Ивашево</w:t>
      </w:r>
    </w:p>
    <w:p>
      <w:pPr>
        <w:pStyle w:val="Normal"/>
        <w:jc w:val="center"/>
        <w:rPr>
          <w:b/>
          <w:b/>
          <w:bCs/>
        </w:rPr>
      </w:pPr>
      <w:r>
        <w:rPr>
          <w:b/>
          <w:bCs/>
        </w:rPr>
        <w:t>Площадь участка – 10 га</w:t>
      </w:r>
    </w:p>
    <w:p>
      <w:pPr>
        <w:pStyle w:val="Normal"/>
        <w:jc w:val="center"/>
        <w:rPr/>
      </w:pPr>
      <w:r>
        <w:rPr/>
        <w:t>Земли населенных пунктов. Текущий владелец – государственная собственность</w:t>
      </w:r>
    </w:p>
    <w:p>
      <w:pPr>
        <w:pStyle w:val="Normal"/>
        <w:jc w:val="center"/>
        <w:rPr/>
      </w:pPr>
      <w:r>
        <w:rPr/>
        <w:drawing>
          <wp:inline distT="0" distB="0" distL="0" distR="0">
            <wp:extent cx="6249035" cy="6210935"/>
            <wp:effectExtent l="0" t="0" r="0" b="0"/>
            <wp:docPr id="12" name="Рисунок 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4" descr="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9035" cy="6210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ind w:left="0" w:right="140" w:hanging="0"/>
        <w:jc w:val="both"/>
        <w:rPr/>
      </w:pPr>
      <w:r>
        <w:rPr>
          <w:b/>
          <w:bCs/>
          <w:sz w:val="24"/>
          <w:szCs w:val="24"/>
        </w:rPr>
        <w:t>Электроэнергия</w:t>
      </w:r>
      <w:r>
        <w:rPr>
          <w:sz w:val="24"/>
          <w:szCs w:val="24"/>
        </w:rPr>
        <w:tab/>
        <w:tab/>
        <w:tab/>
      </w:r>
      <w:r>
        <w:rPr>
          <w:i/>
          <w:iCs/>
          <w:sz w:val="24"/>
          <w:szCs w:val="24"/>
        </w:rPr>
        <w:t>-Непосредственно рядом с площадкой проходит линия</w:t>
      </w:r>
    </w:p>
    <w:p>
      <w:pPr>
        <w:pStyle w:val="Normal"/>
        <w:ind w:left="0" w:right="140" w:hanging="0"/>
        <w:jc w:val="both"/>
        <w:rPr>
          <w:i/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ab/>
        <w:tab/>
        <w:tab/>
        <w:tab/>
        <w:tab/>
        <w:t>ВЛ – 10 кВ</w:t>
      </w:r>
    </w:p>
    <w:p>
      <w:pPr>
        <w:pStyle w:val="Normal"/>
        <w:ind w:left="0" w:right="140" w:hanging="0"/>
        <w:jc w:val="both"/>
        <w:rPr/>
      </w:pPr>
      <w:r>
        <w:rPr>
          <w:b/>
          <w:bCs/>
          <w:sz w:val="24"/>
          <w:szCs w:val="24"/>
        </w:rPr>
        <w:t>Водоснабжение</w:t>
        <w:tab/>
        <w:tab/>
        <w:tab/>
      </w:r>
      <w:r>
        <w:rPr>
          <w:sz w:val="24"/>
          <w:szCs w:val="24"/>
        </w:rPr>
        <w:t>-</w:t>
      </w:r>
      <w:r>
        <w:rPr>
          <w:i/>
          <w:iCs/>
          <w:sz w:val="24"/>
          <w:szCs w:val="24"/>
        </w:rPr>
        <w:t>Артезианская скважина на территории площадки</w:t>
      </w:r>
    </w:p>
    <w:p>
      <w:pPr>
        <w:pStyle w:val="Normal"/>
        <w:ind w:left="0" w:right="140" w:hanging="0"/>
        <w:jc w:val="both"/>
        <w:rPr/>
      </w:pPr>
      <w:r>
        <w:rPr>
          <w:b/>
          <w:bCs/>
          <w:sz w:val="24"/>
          <w:szCs w:val="24"/>
        </w:rPr>
        <w:t>Канализация</w:t>
      </w:r>
      <w:r>
        <w:rPr>
          <w:i/>
          <w:iCs/>
          <w:sz w:val="24"/>
          <w:szCs w:val="24"/>
        </w:rPr>
        <w:tab/>
        <w:tab/>
        <w:tab/>
        <w:t xml:space="preserve">- Пруды – отстойники (7,1 га)  в 0,5 км севернее площадки,  </w:t>
      </w:r>
    </w:p>
    <w:p>
      <w:pPr>
        <w:pStyle w:val="Normal"/>
        <w:ind w:left="3540" w:right="140" w:hanging="0"/>
        <w:jc w:val="both"/>
        <w:rPr>
          <w:i/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>ближайшая централизованная сеть в 8,0 км пос. Ильинское-Хованское</w:t>
      </w:r>
    </w:p>
    <w:p>
      <w:pPr>
        <w:pStyle w:val="Normal"/>
        <w:ind w:left="3544" w:right="140" w:hanging="3544"/>
        <w:jc w:val="both"/>
        <w:rPr/>
      </w:pPr>
      <w:r>
        <w:rPr>
          <w:b/>
          <w:bCs/>
          <w:sz w:val="24"/>
          <w:szCs w:val="24"/>
        </w:rPr>
        <w:t>Газоснабжение</w:t>
      </w:r>
      <w:r>
        <w:rPr>
          <w:i/>
          <w:iCs/>
          <w:sz w:val="24"/>
          <w:szCs w:val="24"/>
        </w:rPr>
        <w:tab/>
        <w:t>- Ближайшая сеть: межпоселковый газопровод от газопровода «ГРС Ильинская – с. Аньково» до с. Ивашево, распределительный газопровод по с. Ивашево</w:t>
      </w:r>
    </w:p>
    <w:p>
      <w:pPr>
        <w:pStyle w:val="Normal"/>
        <w:ind w:left="0" w:right="140" w:hanging="0"/>
        <w:jc w:val="both"/>
        <w:rPr/>
      </w:pPr>
      <w:r>
        <w:rPr>
          <w:b/>
          <w:bCs/>
          <w:sz w:val="24"/>
          <w:szCs w:val="24"/>
        </w:rPr>
        <w:t>Транспортная доступность</w:t>
      </w:r>
      <w:r>
        <w:rPr>
          <w:i/>
          <w:iCs/>
          <w:sz w:val="24"/>
          <w:szCs w:val="24"/>
        </w:rPr>
        <w:tab/>
        <w:t>- Автодорога с а/б покрытием непосредственно рядом с</w:t>
      </w:r>
    </w:p>
    <w:p>
      <w:pPr>
        <w:pStyle w:val="Normal"/>
        <w:ind w:left="0" w:right="140" w:hanging="0"/>
        <w:jc w:val="both"/>
        <w:rPr>
          <w:i/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 xml:space="preserve"> </w:t>
      </w:r>
      <w:r>
        <w:rPr>
          <w:i/>
          <w:iCs/>
          <w:sz w:val="24"/>
          <w:szCs w:val="24"/>
        </w:rPr>
        <w:tab/>
        <w:tab/>
        <w:tab/>
        <w:tab/>
        <w:tab/>
        <w:t>площадкой, ближайшие ж/д станции: г.Тейково (Ивановс-</w:t>
      </w:r>
    </w:p>
    <w:p>
      <w:pPr>
        <w:pStyle w:val="Normal"/>
        <w:ind w:left="0" w:right="140" w:firstLine="708"/>
        <w:jc w:val="both"/>
        <w:rPr>
          <w:i/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 xml:space="preserve"> </w:t>
      </w:r>
      <w:r>
        <w:rPr>
          <w:i/>
          <w:iCs/>
          <w:sz w:val="24"/>
          <w:szCs w:val="24"/>
        </w:rPr>
        <w:tab/>
        <w:tab/>
        <w:tab/>
        <w:tab/>
        <w:t>кая обл.)  – 48 км, г. Ростов (Ярославская обл.) – 53 км</w:t>
      </w:r>
      <w:r>
        <w:br w:type="page"/>
      </w:r>
    </w:p>
    <w:p>
      <w:pPr>
        <w:pStyle w:val="Normal"/>
        <w:shd w:val="clear" w:fill="FFFFFF"/>
        <w:spacing w:lineRule="exact" w:line="274"/>
        <w:jc w:val="center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ind w:left="0" w:right="142" w:hanging="0"/>
        <w:jc w:val="center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jc w:val="center"/>
        <w:rPr/>
      </w:pPr>
      <w:r>
        <w:rPr>
          <w:b/>
          <w:bCs/>
          <w:color w:val="000000"/>
        </w:rPr>
        <w:t>Паспорт «коричневой» площадки __</w:t>
      </w:r>
      <w:r>
        <w:rPr>
          <w:b/>
          <w:bCs/>
          <w:color w:val="000000"/>
          <w:u w:val="single"/>
        </w:rPr>
        <w:t>Нежилое здание</w:t>
      </w:r>
      <w:r>
        <w:rPr>
          <w:b/>
          <w:bCs/>
          <w:color w:val="000000"/>
        </w:rPr>
        <w:t>________________</w:t>
      </w:r>
    </w:p>
    <w:p>
      <w:pPr>
        <w:pStyle w:val="Normal"/>
        <w:jc w:val="center"/>
        <w:rPr>
          <w:b/>
          <w:b/>
          <w:bCs/>
        </w:rPr>
      </w:pPr>
      <w:r>
        <w:rPr>
          <w:b/>
          <w:bCs/>
        </w:rPr>
      </w:r>
    </w:p>
    <w:tbl>
      <w:tblPr>
        <w:tblW w:w="9923" w:type="dxa"/>
        <w:jc w:val="left"/>
        <w:tblInd w:w="-746" w:type="dxa"/>
        <w:tblBorders>
          <w:top w:val="outset" w:sz="6" w:space="0" w:color="00000A"/>
          <w:left w:val="outset" w:sz="6" w:space="0" w:color="00000A"/>
          <w:bottom w:val="outset" w:sz="6" w:space="0" w:color="00000A"/>
          <w:right w:val="outset" w:sz="6" w:space="0" w:color="00000A"/>
          <w:insideH w:val="outset" w:sz="6" w:space="0" w:color="00000A"/>
          <w:insideV w:val="outset" w:sz="6" w:space="0" w:color="00000A"/>
        </w:tblBorders>
        <w:tblCellMar>
          <w:top w:w="15" w:type="dxa"/>
          <w:left w:w="-22" w:type="dxa"/>
          <w:bottom w:w="15" w:type="dxa"/>
          <w:right w:w="15" w:type="dxa"/>
        </w:tblCellMar>
      </w:tblPr>
      <w:tblGrid>
        <w:gridCol w:w="6236"/>
        <w:gridCol w:w="3686"/>
      </w:tblGrid>
      <w:tr>
        <w:trPr>
          <w:trHeight w:val="277" w:hRule="atLeast"/>
        </w:trPr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b/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Неиспользованное здание, сооружение  или незавершенное строительство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ind w:left="0" w:right="708" w:hanging="0"/>
              <w:rPr>
                <w:color w:val="000000"/>
              </w:rPr>
            </w:pPr>
            <w:r>
              <w:rPr>
                <w:color w:val="000000"/>
              </w:rPr>
              <w:t>Неиспользуемое здание</w:t>
            </w:r>
          </w:p>
        </w:tc>
      </w:tr>
      <w:tr>
        <w:trPr>
          <w:trHeight w:val="245" w:hRule="atLeast"/>
        </w:trPr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>Класс объекта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ind w:left="0" w:right="708" w:hanging="0"/>
              <w:rPr>
                <w:color w:val="000000"/>
              </w:rPr>
            </w:pPr>
            <w:r>
              <w:rPr>
                <w:color w:val="000000"/>
              </w:rPr>
              <w:t>Нежилое здание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>Инвентаризационная оценка (руб.)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65849 (восстановительная стоимость)</w:t>
            </w:r>
          </w:p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34285 (действительная собственность) 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>Балансовая стоимость, тыс.руб.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7 185 270,00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 xml:space="preserve">Год постройки 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1984 г.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>Наименование объекта (первичное назначение)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Нежилое здание (детский сад)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 xml:space="preserve">Общая площадь (кв.м.) 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712,6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 xml:space="preserve">Длина (м) 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36,03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 xml:space="preserve">Ширина (м) 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12,90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 xml:space="preserve">Высота (м) 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2,86- первый этаж</w:t>
            </w:r>
          </w:p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3,00 – второй этаж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>Площадь примыкающей площадки, га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0,4484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>Категория земель (формулировка в соответствии с Земельным Кодексом РФ)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Земли населенных пунктов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>Описание земельного участка (форма, рельеф и т.п.)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ind w:left="118" w:right="0" w:hanging="0"/>
              <w:rPr>
                <w:color w:val="000000"/>
              </w:rPr>
            </w:pPr>
            <w:r>
              <w:rPr>
                <w:color w:val="000000"/>
              </w:rPr>
              <w:t>Прямоугольной формы, рельеф-ровный</w:t>
            </w:r>
          </w:p>
        </w:tc>
      </w:tr>
      <w:tr>
        <w:trPr/>
        <w:tc>
          <w:tcPr>
            <w:tcW w:w="9922" w:type="dxa"/>
            <w:gridSpan w:val="2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u w:val="single"/>
              </w:rPr>
              <w:t>Описание местоположения объекта</w:t>
            </w:r>
            <w:r>
              <w:rPr>
                <w:color w:val="000000"/>
              </w:rPr>
              <w:t xml:space="preserve"> 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 xml:space="preserve">Адресная часть 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Ивановская область, Ильинский район, с. Нажерово, ул. Советская, д.5а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u w:val="single"/>
              </w:rPr>
              <w:t>Собственник</w:t>
            </w:r>
            <w:r>
              <w:rPr>
                <w:color w:val="000000"/>
              </w:rPr>
              <w:t xml:space="preserve">(принадлежность объекта)                         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</w:rPr>
              <w:t>Администрация Ивашевского сельского поселения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u w:val="single"/>
              </w:rPr>
              <w:t>Контактное лицо</w:t>
            </w:r>
            <w:r>
              <w:rPr>
                <w:color w:val="000000"/>
              </w:rPr>
              <w:t xml:space="preserve"> (ФИО)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pacing w:val="-6"/>
              </w:rPr>
            </w:pPr>
            <w:r>
              <w:rPr>
                <w:color w:val="000000"/>
                <w:spacing w:val="-6"/>
              </w:rPr>
              <w:t>Касимова Елена Владимировна – глава администрации Ивашевского сельского поселения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>Координаты для контакта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/>
            </w:pPr>
            <w:r>
              <w:rPr>
                <w:color w:val="000000"/>
              </w:rPr>
              <w:t>Тел./</w:t>
            </w:r>
            <w:r>
              <w:rPr>
                <w:color w:val="000000"/>
                <w:lang w:val="en-US"/>
              </w:rPr>
              <w:t>fax</w:t>
            </w:r>
            <w:r>
              <w:rPr>
                <w:color w:val="000000"/>
              </w:rPr>
              <w:t xml:space="preserve"> (49353) 2</w:t>
            </w:r>
            <w:r>
              <w:rPr>
                <w:b/>
                <w:bCs/>
                <w:color w:val="000000"/>
              </w:rPr>
              <w:t>–</w:t>
            </w:r>
            <w:r>
              <w:rPr>
                <w:color w:val="000000"/>
              </w:rPr>
              <w:t>52–18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u w:val="single"/>
              </w:rPr>
            </w:pPr>
            <w:r>
              <w:rPr>
                <w:color w:val="000000"/>
                <w:u w:val="single"/>
              </w:rPr>
              <w:t>Описание конструкций объекта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 xml:space="preserve">Этажность 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Двухэтажное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 xml:space="preserve">Материал стен 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Кирпич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 xml:space="preserve">Фотографии, схемы, планы помещений 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Схема и планы прилагаются</w:t>
            </w:r>
          </w:p>
        </w:tc>
      </w:tr>
      <w:tr>
        <w:trPr/>
        <w:tc>
          <w:tcPr>
            <w:tcW w:w="9922" w:type="dxa"/>
            <w:gridSpan w:val="2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u w:val="single"/>
              </w:rPr>
              <w:t>Инженерные коммуникации</w:t>
            </w:r>
            <w:r>
              <w:rPr>
                <w:color w:val="000000"/>
              </w:rPr>
              <w:t xml:space="preserve"> 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</w:rPr>
              <w:t xml:space="preserve">Водопровод (состояние, имеется, есть возможность подключения, </w:t>
            </w:r>
            <w:r>
              <w:rPr>
                <w:b/>
                <w:bCs/>
                <w:color w:val="000000"/>
              </w:rPr>
              <w:t>расстояние до точки подключения</w:t>
            </w:r>
            <w:r>
              <w:rPr>
                <w:color w:val="000000"/>
              </w:rPr>
              <w:t>)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Центральный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</w:rPr>
              <w:t xml:space="preserve">Электроэнергия  (мощность в наличии, возможность подключения, </w:t>
            </w:r>
            <w:r>
              <w:rPr>
                <w:b/>
                <w:bCs/>
                <w:color w:val="000000"/>
              </w:rPr>
              <w:t>расстояние до точки подключения</w:t>
            </w:r>
            <w:r>
              <w:rPr>
                <w:color w:val="000000"/>
              </w:rPr>
              <w:t>)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КТП на территории площадки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</w:rPr>
              <w:t xml:space="preserve">Отопление (состояние, имеется, есть возможность подключения, </w:t>
            </w:r>
            <w:r>
              <w:rPr>
                <w:b/>
                <w:bCs/>
                <w:color w:val="000000"/>
              </w:rPr>
              <w:t>расстояние до точки подключения</w:t>
            </w:r>
            <w:r>
              <w:rPr>
                <w:color w:val="000000"/>
              </w:rPr>
              <w:t>)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Угольная котельная на территории площадки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</w:rPr>
              <w:t xml:space="preserve">Газ (мощность в наличии, возможность подключения, </w:t>
            </w:r>
            <w:r>
              <w:rPr>
                <w:b/>
                <w:bCs/>
                <w:color w:val="000000"/>
              </w:rPr>
              <w:t>расстояние до точки подключения</w:t>
            </w:r>
            <w:r>
              <w:rPr>
                <w:color w:val="000000"/>
              </w:rPr>
              <w:t>)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spacing w:val="-2"/>
              </w:rPr>
            </w:pPr>
            <w:r>
              <w:rPr>
                <w:spacing w:val="-2"/>
              </w:rPr>
              <w:t xml:space="preserve">Нет, </w:t>
            </w:r>
          </w:p>
          <w:p>
            <w:pPr>
              <w:pStyle w:val="Normal"/>
              <w:rPr>
                <w:spacing w:val="-2"/>
              </w:rPr>
            </w:pPr>
            <w:r>
              <w:rPr>
                <w:spacing w:val="-2"/>
              </w:rPr>
              <w:t xml:space="preserve"> </w:t>
            </w:r>
            <w:r>
              <w:rPr>
                <w:spacing w:val="-2"/>
              </w:rPr>
              <w:t>Ближайшие сети – межпоселковый газопровод от газопровода «ГРС Ильинская – с. Аньково» до с. Ивашево (18 км)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</w:rPr>
              <w:t xml:space="preserve">Канализация (состояние, имеется, есть возможность подключения, </w:t>
            </w:r>
            <w:r>
              <w:rPr>
                <w:b/>
                <w:bCs/>
                <w:color w:val="000000"/>
              </w:rPr>
              <w:t>расстояние до точки подключения</w:t>
            </w:r>
            <w:r>
              <w:rPr>
                <w:color w:val="000000"/>
              </w:rPr>
              <w:t>)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Центральная (в отстойники)</w:t>
            </w:r>
          </w:p>
        </w:tc>
      </w:tr>
      <w:tr>
        <w:trPr/>
        <w:tc>
          <w:tcPr>
            <w:tcW w:w="9922" w:type="dxa"/>
            <w:gridSpan w:val="2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u w:val="single"/>
              </w:rPr>
              <w:t>Подъездные пути</w:t>
            </w:r>
            <w:r>
              <w:rPr>
                <w:color w:val="000000"/>
              </w:rPr>
              <w:t xml:space="preserve"> 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 xml:space="preserve">Наличие собственных подъездных путей (имеется дорога с асфальтовым или грунтовым покрытием, отсутствует) 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 </w:t>
            </w:r>
            <w:r>
              <w:rPr>
                <w:color w:val="000000"/>
              </w:rPr>
              <w:t>Имеется дорога с асфальтовым покрытием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>Наличие собственной ж/д ветки (имеется, отсутствует)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Отсутствует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>Расстояние до основных автомагистралей (км)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spacing w:val="-6"/>
              </w:rPr>
            </w:pPr>
            <w:r>
              <w:rPr>
                <w:spacing w:val="-6"/>
              </w:rPr>
              <w:t>Автодорога республиканского значения: Ростов – Иваново – Н.Новгород (25 км)</w:t>
            </w:r>
          </w:p>
        </w:tc>
      </w:tr>
      <w:tr>
        <w:trPr>
          <w:trHeight w:val="345" w:hRule="atLeast"/>
        </w:trPr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 xml:space="preserve">Расстояние до ж/д станции (км) 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/>
            </w:pPr>
            <w:r>
              <w:rPr/>
              <w:t>Ж/д станции:</w:t>
            </w:r>
          </w:p>
          <w:p>
            <w:pPr>
              <w:pStyle w:val="Normal"/>
              <w:rPr/>
            </w:pPr>
            <w:r>
              <w:rPr/>
              <w:t>г. Тейково (Ивановская область) – 66 км</w:t>
            </w:r>
          </w:p>
          <w:p>
            <w:pPr>
              <w:pStyle w:val="Normal"/>
              <w:rPr/>
            </w:pPr>
            <w:r>
              <w:rPr/>
              <w:t>г. Ростов (Ярославская область) – 70 км</w:t>
            </w:r>
          </w:p>
        </w:tc>
      </w:tr>
      <w:tr>
        <w:trPr>
          <w:trHeight w:val="345" w:hRule="atLeast"/>
        </w:trPr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>Расстояние до точки врезки ж/д путей (км)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60 км.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>Расстояние до ближайшего жилья (км)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В черте населенного пункта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>Возможность расширения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Имеется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>Возможность обособления территории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Имеется</w:t>
            </w:r>
          </w:p>
        </w:tc>
      </w:tr>
      <w:tr>
        <w:trPr/>
        <w:tc>
          <w:tcPr>
            <w:tcW w:w="9922" w:type="dxa"/>
            <w:gridSpan w:val="2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u w:val="single"/>
              </w:rPr>
              <w:t>Юридическая документация</w:t>
            </w:r>
            <w:r>
              <w:rPr>
                <w:color w:val="000000"/>
              </w:rPr>
              <w:t xml:space="preserve"> 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>Вид права на объект и наличие правоустанавливающей документации на земельный участок под объектом (желательно приложить  выписки  из  ГЗК, либо КПТ)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  <w:spacing w:val="-2"/>
              </w:rPr>
            </w:pPr>
            <w:r>
              <w:rPr>
                <w:color w:val="000000"/>
                <w:spacing w:val="-2"/>
              </w:rPr>
              <w:t>Свидетельство о государственной регистрации права от 02.07.2014 г. № 37СС 474260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>Кадастровая стоимость земельного участка, на котором находится объект (руб.)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/>
            </w:pPr>
            <w:r>
              <w:rPr/>
              <w:t xml:space="preserve">11344,52 руб. </w:t>
            </w:r>
          </w:p>
          <w:p>
            <w:pPr>
              <w:pStyle w:val="Normal"/>
              <w:rPr/>
            </w:pPr>
            <w:r>
              <w:rPr/>
              <w:t>(распоряжение главы Нажеровского сельсовета №18 от 21.09.1993 г.)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>Наличие технической документации, дата проведения последней инвентаризации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Техническая  инвентаризация  от 24.02.2010 г.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 xml:space="preserve">Обременения 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/>
            </w:pPr>
            <w:r>
              <w:rPr/>
              <w:t>нет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u w:val="single"/>
              </w:rPr>
            </w:pPr>
            <w:r>
              <w:rPr>
                <w:color w:val="000000"/>
                <w:u w:val="single"/>
              </w:rPr>
              <w:t>Предлагаемые формы реализации (форма участия)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Малое производственное предприятие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u w:val="single"/>
              </w:rPr>
            </w:pPr>
            <w:r>
              <w:rPr>
                <w:color w:val="000000"/>
                <w:u w:val="single"/>
              </w:rPr>
              <w:t>Процент готовности к реализации (состояние объекта)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 </w:t>
            </w:r>
            <w:r>
              <w:rPr>
                <w:color w:val="000000"/>
              </w:rPr>
              <w:t>100%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>Дополнительные сведения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b/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Дата подготовки сведений 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 </w:t>
            </w:r>
            <w:r>
              <w:rPr>
                <w:color w:val="000000"/>
              </w:rPr>
              <w:t>31.01.2019</w:t>
            </w:r>
          </w:p>
        </w:tc>
      </w:tr>
    </w:tbl>
    <w:p>
      <w:pPr>
        <w:pStyle w:val="Normal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Ильинский муниципальный район, с. Нажерово</w:t>
      </w:r>
    </w:p>
    <w:p>
      <w:pPr>
        <w:pStyle w:val="Normal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(местонахождение объекта – Ильинский район, с. Нажерово, ул. Советская, д.5а </w:t>
      </w:r>
    </w:p>
    <w:p>
      <w:pPr>
        <w:sectPr>
          <w:footerReference w:type="default" r:id="rId25"/>
          <w:type w:val="nextPage"/>
          <w:pgSz w:w="11906" w:h="16838"/>
          <w:pgMar w:left="1418" w:right="567" w:header="0" w:top="567" w:footer="709" w:bottom="766" w:gutter="0"/>
          <w:pgNumType w:fmt="decimal"/>
          <w:formProt w:val="false"/>
          <w:textDirection w:val="lrTb"/>
          <w:docGrid w:type="default" w:linePitch="360" w:charSpace="2047"/>
        </w:sectPr>
        <w:pStyle w:val="Normal"/>
        <w:jc w:val="center"/>
        <w:rPr>
          <w:sz w:val="24"/>
          <w:szCs w:val="24"/>
        </w:rPr>
      </w:pPr>
      <w:r>
        <w:rPr>
          <w:sz w:val="24"/>
          <w:szCs w:val="24"/>
        </w:rPr>
        <w:t>(бывший детский сад))</w:t>
      </w:r>
    </w:p>
    <w:p>
      <w:pPr>
        <w:pStyle w:val="Normal"/>
        <w:ind w:left="-426" w:right="0" w:hanging="0"/>
        <w:jc w:val="center"/>
        <w:rPr/>
      </w:pPr>
      <w:r>
        <w:rPr/>
        <w:drawing>
          <wp:inline distT="0" distB="0" distL="0" distR="0">
            <wp:extent cx="6249035" cy="6249035"/>
            <wp:effectExtent l="0" t="0" r="0" b="0"/>
            <wp:docPr id="13" name="Рисунок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" descr="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9035" cy="6249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sz w:val="24"/>
          <w:szCs w:val="24"/>
        </w:rPr>
        <w:t>Поэтажный план здания детского сада</w:t>
      </w:r>
    </w:p>
    <w:p>
      <w:pPr>
        <w:pStyle w:val="Normal"/>
        <w:jc w:val="center"/>
        <w:rPr/>
      </w:pPr>
      <w:r>
        <w:rPr/>
        <w:drawing>
          <wp:inline distT="0" distB="0" distL="0" distR="0">
            <wp:extent cx="6096635" cy="3048635"/>
            <wp:effectExtent l="0" t="0" r="0" b="0"/>
            <wp:docPr id="14" name="Рисунок 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5" descr="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04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widowControl/>
        <w:jc w:val="center"/>
        <w:rPr/>
      </w:pPr>
      <w:r>
        <w:rPr/>
        <w:drawing>
          <wp:inline distT="0" distB="0" distL="0" distR="0">
            <wp:extent cx="6096635" cy="3239135"/>
            <wp:effectExtent l="0" t="0" r="0" b="0"/>
            <wp:docPr id="15" name="Рисунок 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6" descr="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23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Фотографические материалы</w:t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tbl>
      <w:tblPr>
        <w:tblW w:w="16410" w:type="dxa"/>
        <w:jc w:val="left"/>
        <w:tblInd w:w="3" w:type="dxa"/>
        <w:tblBorders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205"/>
        <w:gridCol w:w="8204"/>
      </w:tblGrid>
      <w:tr>
        <w:trPr/>
        <w:tc>
          <w:tcPr>
            <w:tcW w:w="8205" w:type="dxa"/>
            <w:tcBorders/>
            <w:shd w:fill="FFFFFF" w:val="clear"/>
          </w:tcPr>
          <w:p>
            <w:pPr>
              <w:pStyle w:val="Normal"/>
              <w:jc w:val="center"/>
              <w:rPr/>
            </w:pPr>
            <w:r>
              <w:rPr/>
              <w:drawing>
                <wp:inline distT="0" distB="0" distL="0" distR="0">
                  <wp:extent cx="4096385" cy="3058160"/>
                  <wp:effectExtent l="0" t="0" r="0" b="0"/>
                  <wp:docPr id="16" name="Изображение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Изображение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6385" cy="3058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jc w:val="center"/>
              <w:rPr>
                <w:i/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передний фасад</w:t>
            </w:r>
          </w:p>
        </w:tc>
        <w:tc>
          <w:tcPr>
            <w:tcW w:w="8204" w:type="dxa"/>
            <w:tcBorders/>
            <w:shd w:fill="FFFFFF" w:val="clear"/>
          </w:tcPr>
          <w:p>
            <w:pPr>
              <w:pStyle w:val="Normal"/>
              <w:jc w:val="center"/>
              <w:rPr/>
            </w:pPr>
            <w:r>
              <w:rPr/>
              <w:drawing>
                <wp:inline distT="0" distB="0" distL="0" distR="0">
                  <wp:extent cx="4067810" cy="3058160"/>
                  <wp:effectExtent l="0" t="0" r="0" b="0"/>
                  <wp:docPr id="17" name="Изображение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Изображение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7810" cy="3058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jc w:val="center"/>
              <w:rPr>
                <w:i/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задний фасад</w:t>
            </w:r>
          </w:p>
        </w:tc>
      </w:tr>
      <w:tr>
        <w:trPr/>
        <w:tc>
          <w:tcPr>
            <w:tcW w:w="8205" w:type="dxa"/>
            <w:tcBorders/>
            <w:shd w:fill="FFFFFF" w:val="clear"/>
          </w:tcPr>
          <w:p>
            <w:pPr>
              <w:pStyle w:val="Normal"/>
              <w:jc w:val="center"/>
              <w:rPr/>
            </w:pPr>
            <w:r>
              <w:rPr/>
              <w:drawing>
                <wp:inline distT="0" distB="0" distL="0" distR="0">
                  <wp:extent cx="4077335" cy="3058160"/>
                  <wp:effectExtent l="0" t="0" r="0" b="0"/>
                  <wp:docPr id="18" name="Рисунок 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Рисунок 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7335" cy="3058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jc w:val="center"/>
              <w:rPr>
                <w:i/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боковой фасад (левый)</w:t>
            </w:r>
          </w:p>
        </w:tc>
        <w:tc>
          <w:tcPr>
            <w:tcW w:w="8204" w:type="dxa"/>
            <w:tcBorders/>
            <w:shd w:fill="FFFFFF" w:val="clear"/>
          </w:tcPr>
          <w:p>
            <w:pPr>
              <w:pStyle w:val="Normal"/>
              <w:jc w:val="center"/>
              <w:rPr/>
            </w:pPr>
            <w:r>
              <w:rPr/>
              <w:drawing>
                <wp:inline distT="0" distB="0" distL="0" distR="0">
                  <wp:extent cx="4086860" cy="3058160"/>
                  <wp:effectExtent l="0" t="0" r="0" b="0"/>
                  <wp:docPr id="19" name="Рисунок 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Рисунок 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6860" cy="3058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jc w:val="center"/>
              <w:rPr>
                <w:i/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боковой фасад (правый)</w:t>
            </w:r>
          </w:p>
        </w:tc>
      </w:tr>
    </w:tbl>
    <w:p>
      <w:pPr>
        <w:sectPr>
          <w:footerReference w:type="default" r:id="rId33"/>
          <w:type w:val="nextPage"/>
          <w:pgSz w:orient="landscape" w:w="16838" w:h="11906"/>
          <w:pgMar w:left="284" w:right="284" w:header="0" w:top="284" w:footer="284" w:bottom="341" w:gutter="0"/>
          <w:pgNumType w:fmt="decimal"/>
          <w:formProt w:val="false"/>
          <w:textDirection w:val="lrTb"/>
          <w:docGrid w:type="default" w:linePitch="360" w:charSpace="2047"/>
        </w:sectPr>
      </w:pPr>
    </w:p>
    <w:p>
      <w:pPr>
        <w:pStyle w:val="Normal"/>
        <w:jc w:val="center"/>
        <w:rPr/>
      </w:pPr>
      <w:r>
        <w:rPr>
          <w:b/>
          <w:color w:val="000000"/>
          <w:sz w:val="20"/>
          <w:szCs w:val="20"/>
        </w:rPr>
        <w:t xml:space="preserve"> </w:t>
      </w:r>
      <w:r>
        <w:rPr>
          <w:b/>
          <w:color w:val="000000"/>
          <w:sz w:val="20"/>
          <w:szCs w:val="20"/>
        </w:rPr>
        <w:t xml:space="preserve">Паспорт «коричневой» площадки </w:t>
      </w:r>
      <w:r>
        <w:rPr>
          <w:b/>
          <w:color w:val="000000"/>
          <w:sz w:val="20"/>
          <w:szCs w:val="20"/>
          <w:lang w:val="ru-RU"/>
        </w:rPr>
        <w:t>________</w:t>
      </w:r>
      <w:r>
        <w:rPr>
          <w:b/>
          <w:color w:val="000000"/>
          <w:sz w:val="20"/>
          <w:szCs w:val="20"/>
          <w:u w:val="single"/>
          <w:lang w:val="en-US"/>
        </w:rPr>
        <w:t xml:space="preserve">Нежилое </w:t>
      </w:r>
      <w:r>
        <w:rPr>
          <w:b/>
          <w:color w:val="000000"/>
          <w:sz w:val="20"/>
          <w:szCs w:val="20"/>
          <w:u w:val="single"/>
          <w:lang w:val="ru-RU"/>
        </w:rPr>
        <w:t>здание</w:t>
      </w:r>
      <w:r>
        <w:rPr>
          <w:b/>
          <w:color w:val="000000"/>
          <w:sz w:val="20"/>
          <w:szCs w:val="20"/>
          <w:u w:val="single"/>
          <w:lang w:val="en-US"/>
        </w:rPr>
        <w:t>_</w:t>
      </w:r>
      <w:r>
        <w:rPr>
          <w:b/>
          <w:color w:val="000000"/>
          <w:sz w:val="20"/>
          <w:szCs w:val="20"/>
          <w:lang w:val="ru-RU"/>
        </w:rPr>
        <w:t>___________________________________</w:t>
      </w:r>
    </w:p>
    <w:p>
      <w:pPr>
        <w:pStyle w:val="Normal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tbl>
      <w:tblPr>
        <w:tblW w:w="10095" w:type="dxa"/>
        <w:jc w:val="left"/>
        <w:tblInd w:w="-735" w:type="dxa"/>
        <w:tblBorders>
          <w:top w:val="thickThinSmallGap" w:sz="12" w:space="0" w:color="C0C0C0"/>
          <w:left w:val="thickThinSmallGap" w:sz="12" w:space="0" w:color="C0C0C0"/>
          <w:bottom w:val="thickThinSmallGap" w:sz="12" w:space="0" w:color="C0C0C0"/>
          <w:insideH w:val="thickThinSmallGap" w:sz="12" w:space="0" w:color="C0C0C0"/>
        </w:tblBorders>
        <w:tblCellMar>
          <w:top w:w="15" w:type="dxa"/>
          <w:left w:w="-30" w:type="dxa"/>
          <w:bottom w:w="15" w:type="dxa"/>
          <w:right w:w="15" w:type="dxa"/>
        </w:tblCellMar>
      </w:tblPr>
      <w:tblGrid>
        <w:gridCol w:w="6750"/>
        <w:gridCol w:w="3344"/>
      </w:tblGrid>
      <w:tr>
        <w:trPr>
          <w:trHeight w:val="277" w:hRule="atLeast"/>
        </w:trPr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b/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Неиспользованное здание, сооружение  или незавершенное строительство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spacing w:before="0" w:after="0"/>
              <w:ind w:left="0" w:right="708" w:hanging="0"/>
              <w:rPr>
                <w:b/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Неиспользуемое здание</w:t>
            </w:r>
          </w:p>
        </w:tc>
      </w:tr>
      <w:tr>
        <w:trPr>
          <w:trHeight w:val="245" w:hRule="atLeast"/>
        </w:trPr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Класс объекта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spacing w:before="0" w:after="0"/>
              <w:ind w:left="0" w:right="708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Нежилое здание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Инвентаризационная оценка (руб.)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 </w:t>
            </w:r>
          </w:p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Балансовая стоимость, тыс.руб.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0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Год постройки 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1970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объекта (первичное назначение)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Для размещения хлебозавода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Общая площадь (кв.м.) 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1298,5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Длина (м) 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61,8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Ширина (м) 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22,15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Высота (м) 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5,85 — цех, 3,75 — основное здание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 примыкающей площадки, га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0,4176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Категория земель (формулировка в соответствии с Земельным Кодексом РФ)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Земли населенных пунктов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земельного участка (форма, рельеф и т.п.)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Прямоугольной формы, рельеф-ровный</w:t>
            </w:r>
          </w:p>
        </w:tc>
      </w:tr>
      <w:tr>
        <w:trPr/>
        <w:tc>
          <w:tcPr>
            <w:tcW w:w="10094" w:type="dxa"/>
            <w:gridSpan w:val="2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Описание местоположения объекта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Адресная часть 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Ивановская область, Ильинский район, п. Ильинское-Хованское, ул. Советская, д.74Б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Собственник</w:t>
            </w:r>
            <w:r>
              <w:rPr>
                <w:color w:val="000000"/>
                <w:sz w:val="20"/>
                <w:szCs w:val="20"/>
              </w:rPr>
              <w:t xml:space="preserve">(принадлежность объекта)                         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Потребительское общество «Ильинское»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Контактное лицо</w:t>
            </w:r>
            <w:r>
              <w:rPr>
                <w:color w:val="000000"/>
                <w:sz w:val="20"/>
                <w:szCs w:val="20"/>
              </w:rPr>
              <w:t xml:space="preserve"> (ФИО)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Богуш Валентина Николаевна 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Координаты для контакта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8(49353) 2-11-35</w:t>
            </w:r>
          </w:p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+7-964-495-95-79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  <w:u w:val="single"/>
              </w:rPr>
            </w:pPr>
            <w:r>
              <w:rPr>
                <w:color w:val="000000"/>
                <w:sz w:val="20"/>
                <w:szCs w:val="20"/>
                <w:u w:val="single"/>
              </w:rPr>
              <w:t>Описание конструкций объекта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  <w:u w:val="single"/>
              </w:rPr>
            </w:pPr>
            <w:r>
              <w:rPr>
                <w:color w:val="000000"/>
                <w:sz w:val="20"/>
                <w:szCs w:val="20"/>
                <w:u w:val="single"/>
              </w:rPr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Этажность 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Одноэтажное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Материал стен 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Кирпич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Фотографии, схемы, планы помещений 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Схема и планы прилагаются</w:t>
            </w:r>
          </w:p>
        </w:tc>
      </w:tr>
      <w:tr>
        <w:trPr/>
        <w:tc>
          <w:tcPr>
            <w:tcW w:w="10094" w:type="dxa"/>
            <w:gridSpan w:val="2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Инженерные коммуникации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Водопровод (состояние, имеется, есть возможность подключения, </w:t>
            </w:r>
            <w:r>
              <w:rPr>
                <w:b/>
                <w:color w:val="000000"/>
                <w:sz w:val="20"/>
                <w:szCs w:val="20"/>
              </w:rPr>
              <w:t>расстояние до точки подключения</w:t>
            </w:r>
            <w:r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Имеется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Электроэнергия  (мощность в наличии, возможность подключения, </w:t>
            </w:r>
            <w:r>
              <w:rPr>
                <w:b/>
                <w:color w:val="000000"/>
                <w:sz w:val="20"/>
                <w:szCs w:val="20"/>
              </w:rPr>
              <w:t>расстояние до точки подключения</w:t>
            </w:r>
            <w:r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/>
            </w:pPr>
            <w:r>
              <w:rPr>
                <w:color w:val="000000"/>
                <w:sz w:val="20"/>
                <w:szCs w:val="20"/>
              </w:rPr>
              <w:t xml:space="preserve">Имеется (ТП —  трансформаторная подстанция 1 </w:t>
            </w:r>
            <w:r>
              <w:rPr>
                <w:color w:val="000000"/>
                <w:sz w:val="20"/>
                <w:szCs w:val="20"/>
                <w:lang w:val="en-US"/>
              </w:rPr>
              <w:t xml:space="preserve">x 250 </w:t>
            </w:r>
            <w:r>
              <w:rPr>
                <w:color w:val="000000"/>
                <w:sz w:val="20"/>
                <w:szCs w:val="20"/>
                <w:lang w:val="ru-RU"/>
              </w:rPr>
              <w:t>кВт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  <w:lang w:val="en-US"/>
              </w:rPr>
              <w:t>)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Отопление (состояние, имеется, есть возможность подключения, </w:t>
            </w:r>
            <w:r>
              <w:rPr>
                <w:b/>
                <w:color w:val="000000"/>
                <w:sz w:val="20"/>
                <w:szCs w:val="20"/>
              </w:rPr>
              <w:t>расстояние до точки подключения</w:t>
            </w:r>
            <w:r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  <w:lang w:val="ru-RU"/>
              </w:rPr>
            </w:pPr>
            <w:r>
              <w:rPr>
                <w:color w:val="000000"/>
                <w:sz w:val="20"/>
                <w:szCs w:val="20"/>
                <w:lang w:val="ru-RU"/>
              </w:rPr>
              <w:t>Газовое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Газ (мощность в наличии, возможность подключения, </w:t>
            </w:r>
            <w:r>
              <w:rPr>
                <w:b/>
                <w:color w:val="000000"/>
                <w:sz w:val="20"/>
                <w:szCs w:val="20"/>
              </w:rPr>
              <w:t>расстояние до точки подключения</w:t>
            </w:r>
            <w:r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Газовая котельная (мощность 200 кВт)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Канализация (состояние, имеется, есть возможность подключения, </w:t>
            </w:r>
            <w:r>
              <w:rPr>
                <w:b/>
                <w:color w:val="000000"/>
                <w:sz w:val="20"/>
                <w:szCs w:val="20"/>
              </w:rPr>
              <w:t>расстояние до точки подключения</w:t>
            </w:r>
            <w:r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Центральная</w:t>
            </w:r>
          </w:p>
        </w:tc>
      </w:tr>
      <w:tr>
        <w:trPr/>
        <w:tc>
          <w:tcPr>
            <w:tcW w:w="10094" w:type="dxa"/>
            <w:gridSpan w:val="2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Подъездные пути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Наличие собственных подъездных путей (имеется дорога с асфальтовым или грунтовым покрытием, отсутствует) 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 </w:t>
            </w:r>
            <w:r>
              <w:rPr>
                <w:color w:val="000000"/>
                <w:sz w:val="20"/>
                <w:szCs w:val="20"/>
              </w:rPr>
              <w:t>Имеется дорога с асфальтовым покрытием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Наличие собственной ж/д ветки (имеется, отсутствует)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Отсутствует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Расстояние до основных автомагистралей (км)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Автодорога республиканского значения: Ростов-Иваново-Н.Новгород (0,8 км.)</w:t>
            </w:r>
          </w:p>
        </w:tc>
      </w:tr>
      <w:tr>
        <w:trPr>
          <w:trHeight w:val="345" w:hRule="atLeast"/>
        </w:trPr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Расстояние до ж/д станции (км) 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г.Тейково (Ивановская область) — 48 км.</w:t>
            </w:r>
          </w:p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г.Ростов (Ярославская область) — 53 км.</w:t>
            </w:r>
          </w:p>
        </w:tc>
      </w:tr>
      <w:tr>
        <w:trPr>
          <w:trHeight w:val="345" w:hRule="atLeast"/>
        </w:trPr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Расстояние до точки врезки ж/д путей (км)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Расстояние до ближайшего жилья (км)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0,05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Возможность расширения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Имеется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Возможность обособления территории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Имеется</w:t>
            </w:r>
          </w:p>
        </w:tc>
      </w:tr>
      <w:tr>
        <w:trPr/>
        <w:tc>
          <w:tcPr>
            <w:tcW w:w="10094" w:type="dxa"/>
            <w:gridSpan w:val="2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widowControl w:val="false"/>
              <w:suppressAutoHyphens w:val="false"/>
              <w:bidi w:val="0"/>
              <w:spacing w:before="0" w:after="0"/>
              <w:ind w:left="0" w:right="794" w:hanging="0"/>
              <w:jc w:val="left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Юридическая документация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Вид права на объект и наличие правоустанавливающей документации на земельный участок под объектом (желательно приложить  выписки  из  ГЗК, либо КПТ)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Аренда</w:t>
            </w:r>
          </w:p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Кадастровая стоимость земельного участка, на котором находится объект (руб.)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1075837,50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Наличие технической документации, дата проведения последней инвентаризации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/>
            </w:pPr>
            <w:r>
              <w:rPr>
                <w:color w:val="000000"/>
                <w:sz w:val="20"/>
                <w:szCs w:val="20"/>
              </w:rPr>
              <w:t xml:space="preserve">Техническая инвентаризация от </w:t>
            </w:r>
            <w:r>
              <w:rPr>
                <w:color w:val="FF3333"/>
                <w:sz w:val="20"/>
                <w:szCs w:val="20"/>
              </w:rPr>
              <w:t xml:space="preserve">  </w:t>
            </w:r>
            <w:r>
              <w:rPr>
                <w:color w:val="000000"/>
                <w:sz w:val="20"/>
                <w:szCs w:val="20"/>
              </w:rPr>
              <w:t xml:space="preserve">26.12.2001г. 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Обременения 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нет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  <w:u w:val="single"/>
              </w:rPr>
            </w:pPr>
            <w:r>
              <w:rPr>
                <w:color w:val="000000"/>
                <w:sz w:val="20"/>
                <w:szCs w:val="20"/>
                <w:u w:val="single"/>
              </w:rPr>
              <w:t>Предлагаемые формы реализации (форма участия)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  <w:u w:val="single"/>
              </w:rPr>
            </w:pPr>
            <w:r>
              <w:rPr>
                <w:color w:val="000000"/>
                <w:sz w:val="20"/>
                <w:szCs w:val="20"/>
                <w:u w:val="single"/>
              </w:rPr>
              <w:t>Продажа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  <w:u w:val="single"/>
              </w:rPr>
            </w:pPr>
            <w:r>
              <w:rPr>
                <w:color w:val="000000"/>
                <w:sz w:val="20"/>
                <w:szCs w:val="20"/>
                <w:u w:val="single"/>
              </w:rPr>
              <w:t>Процент готовности к реализации (состояние объекта)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 </w:t>
            </w:r>
            <w:r>
              <w:rPr>
                <w:color w:val="000000"/>
                <w:sz w:val="20"/>
                <w:szCs w:val="20"/>
              </w:rPr>
              <w:t>Требуется капитальный и косметический ремонт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Дополнительные сведения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b/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 xml:space="preserve">Дата подготовки сведений 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 </w:t>
            </w:r>
            <w:r>
              <w:rPr>
                <w:color w:val="000000"/>
                <w:sz w:val="20"/>
                <w:szCs w:val="20"/>
              </w:rPr>
              <w:t>31.01.2019г</w:t>
            </w:r>
          </w:p>
        </w:tc>
      </w:tr>
    </w:tbl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  <w:drawing>
          <wp:anchor behindDoc="0" distT="0" distB="0" distL="0" distR="0" simplePos="0" locked="0" layoutInCell="1" allowOverlap="1" relativeHeight="4">
            <wp:simplePos x="0" y="0"/>
            <wp:positionH relativeFrom="column">
              <wp:posOffset>-371475</wp:posOffset>
            </wp:positionH>
            <wp:positionV relativeFrom="paragraph">
              <wp:posOffset>144780</wp:posOffset>
            </wp:positionV>
            <wp:extent cx="6966585" cy="4480560"/>
            <wp:effectExtent l="0" t="0" r="0" b="0"/>
            <wp:wrapSquare wrapText="largest"/>
            <wp:docPr id="20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6585" cy="4480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  <w:drawing>
          <wp:anchor behindDoc="0" distT="0" distB="0" distL="0" distR="0" simplePos="0" locked="0" layoutInCell="1" allowOverlap="1" relativeHeight="5">
            <wp:simplePos x="0" y="0"/>
            <wp:positionH relativeFrom="column">
              <wp:posOffset>96520</wp:posOffset>
            </wp:positionH>
            <wp:positionV relativeFrom="paragraph">
              <wp:posOffset>34290</wp:posOffset>
            </wp:positionV>
            <wp:extent cx="6162675" cy="8336280"/>
            <wp:effectExtent l="0" t="0" r="0" b="0"/>
            <wp:wrapSquare wrapText="largest"/>
            <wp:docPr id="21" name="Изображение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Изображение9" descr="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8336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  <w:br/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  <w:drawing>
          <wp:anchor behindDoc="0" distT="0" distB="0" distL="0" distR="0" simplePos="0" locked="0" layoutInCell="1" allowOverlap="1" relativeHeight="6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227445" cy="4973320"/>
            <wp:effectExtent l="0" t="0" r="0" b="0"/>
            <wp:wrapSquare wrapText="largest"/>
            <wp:docPr id="22" name="Изображение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Изображение10" descr="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445" cy="4973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jc w:val="center"/>
        <w:rPr/>
      </w:pPr>
      <w:r>
        <w:rPr>
          <w:b/>
          <w:color w:val="000000"/>
          <w:sz w:val="20"/>
          <w:szCs w:val="20"/>
        </w:rPr>
        <w:t xml:space="preserve">Паспорт «коричневой» площадки </w:t>
      </w:r>
      <w:r>
        <w:rPr>
          <w:b/>
          <w:color w:val="000000"/>
          <w:sz w:val="20"/>
          <w:szCs w:val="20"/>
          <w:lang w:val="ru-RU"/>
        </w:rPr>
        <w:t>________</w:t>
      </w:r>
      <w:r>
        <w:rPr>
          <w:b/>
          <w:color w:val="000000"/>
          <w:sz w:val="20"/>
          <w:szCs w:val="20"/>
          <w:u w:val="single"/>
          <w:lang w:val="en-US"/>
        </w:rPr>
        <w:t xml:space="preserve">Нежилое </w:t>
      </w:r>
      <w:r>
        <w:rPr>
          <w:b/>
          <w:color w:val="000000"/>
          <w:sz w:val="20"/>
          <w:szCs w:val="20"/>
          <w:u w:val="single"/>
          <w:lang w:val="ru-RU"/>
        </w:rPr>
        <w:t>здание</w:t>
      </w:r>
      <w:r>
        <w:rPr>
          <w:b/>
          <w:color w:val="000000"/>
          <w:sz w:val="20"/>
          <w:szCs w:val="20"/>
          <w:u w:val="single"/>
          <w:lang w:val="en-US"/>
        </w:rPr>
        <w:t>_</w:t>
      </w:r>
      <w:r>
        <w:rPr>
          <w:b/>
          <w:color w:val="000000"/>
          <w:sz w:val="20"/>
          <w:szCs w:val="20"/>
          <w:lang w:val="ru-RU"/>
        </w:rPr>
        <w:t>___________________________________</w:t>
      </w:r>
    </w:p>
    <w:p>
      <w:pPr>
        <w:pStyle w:val="Normal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tbl>
      <w:tblPr>
        <w:tblW w:w="9867" w:type="dxa"/>
        <w:jc w:val="left"/>
        <w:tblInd w:w="-765" w:type="dxa"/>
        <w:tblBorders>
          <w:top w:val="thickThinSmallGap" w:sz="12" w:space="0" w:color="C0C0C0"/>
          <w:left w:val="thickThinSmallGap" w:sz="12" w:space="0" w:color="C0C0C0"/>
          <w:bottom w:val="thickThinSmallGap" w:sz="12" w:space="0" w:color="C0C0C0"/>
          <w:insideH w:val="thickThinSmallGap" w:sz="12" w:space="0" w:color="C0C0C0"/>
        </w:tblBorders>
        <w:tblCellMar>
          <w:top w:w="15" w:type="dxa"/>
          <w:left w:w="-30" w:type="dxa"/>
          <w:bottom w:w="15" w:type="dxa"/>
          <w:right w:w="15" w:type="dxa"/>
        </w:tblCellMar>
      </w:tblPr>
      <w:tblGrid>
        <w:gridCol w:w="5743"/>
        <w:gridCol w:w="4123"/>
      </w:tblGrid>
      <w:tr>
        <w:trPr>
          <w:trHeight w:val="277" w:hRule="atLeast"/>
        </w:trPr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b/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Неиспользованное здание, сооружение  или незавершенное строительство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spacing w:before="0" w:after="0"/>
              <w:ind w:left="0" w:right="708" w:hanging="0"/>
              <w:rPr>
                <w:b/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Неиспользуемое здание</w:t>
            </w:r>
          </w:p>
        </w:tc>
      </w:tr>
      <w:tr>
        <w:trPr>
          <w:trHeight w:val="245" w:hRule="atLeast"/>
        </w:trPr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Класс объекта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spacing w:before="0" w:after="0"/>
              <w:ind w:left="0" w:right="708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Нежилое здание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Инвентаризационная оценка (руб.)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 </w:t>
            </w:r>
          </w:p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Балансовая стоимость, тыс.руб.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0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widowControl w:val="false"/>
              <w:suppressAutoHyphens w:val="false"/>
              <w:bidi w:val="0"/>
              <w:spacing w:before="0" w:after="0"/>
              <w:ind w:left="397" w:right="0" w:hanging="0"/>
              <w:jc w:val="lef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Год постройки 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1989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объекта (первичное назначение)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Производственная база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Общая площадь (кв.м.) 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1284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Длина (м) 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54,96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Ширина (м) 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18,76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Высота (м) 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3,38 - первый этаж, 8 - склад</w:t>
            </w:r>
          </w:p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2,85 - второй этаж</w:t>
            </w:r>
          </w:p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2,95 - третий этаж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 примыкающей площадки, га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0,6106, асфальтовая площадка — 2500 кв.м.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Категория земель (формулировка в соответствии с Земельным Кодексом РФ)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Земли населенных пунктов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земельного участка (форма, рельеф и т.п.)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Прямоугольной формы, рельеф-ровный</w:t>
            </w:r>
          </w:p>
        </w:tc>
      </w:tr>
      <w:tr>
        <w:trPr/>
        <w:tc>
          <w:tcPr>
            <w:tcW w:w="9866" w:type="dxa"/>
            <w:gridSpan w:val="2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Описание местоположения объекта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Адресная часть 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Ивановская область, Ильинский район, п. Ильинское-Хованское, ул. Садовая, 39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Собственник</w:t>
            </w:r>
            <w:r>
              <w:rPr>
                <w:color w:val="000000"/>
                <w:sz w:val="20"/>
                <w:szCs w:val="20"/>
              </w:rPr>
              <w:t xml:space="preserve">(принадлежность объекта)                         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Частная собственность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Контактное лицо</w:t>
            </w:r>
            <w:r>
              <w:rPr>
                <w:color w:val="000000"/>
                <w:sz w:val="20"/>
                <w:szCs w:val="20"/>
              </w:rPr>
              <w:t xml:space="preserve"> (ФИО)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Савельев Валерий Витальевич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Координаты для контакта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+7-920-355-54-37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  <w:u w:val="single"/>
              </w:rPr>
            </w:pPr>
            <w:r>
              <w:rPr>
                <w:color w:val="000000"/>
                <w:sz w:val="20"/>
                <w:szCs w:val="20"/>
                <w:u w:val="single"/>
              </w:rPr>
              <w:t>Описание конструкций объекта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  <w:u w:val="single"/>
              </w:rPr>
            </w:pPr>
            <w:r>
              <w:rPr>
                <w:color w:val="000000"/>
                <w:sz w:val="20"/>
                <w:szCs w:val="20"/>
                <w:u w:val="single"/>
              </w:rPr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Этажность 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Трехэтажное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Материал стен 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Кирпич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Фотографии, схемы, планы помещений 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Схема и планы прилагаются</w:t>
            </w:r>
          </w:p>
        </w:tc>
      </w:tr>
      <w:tr>
        <w:trPr/>
        <w:tc>
          <w:tcPr>
            <w:tcW w:w="9866" w:type="dxa"/>
            <w:gridSpan w:val="2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Инженерные коммуникации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Водопровод (состояние, имеется, есть возможность подключения, </w:t>
            </w:r>
            <w:r>
              <w:rPr>
                <w:b/>
                <w:color w:val="000000"/>
                <w:sz w:val="20"/>
                <w:szCs w:val="20"/>
              </w:rPr>
              <w:t>расстояние до точки подключения</w:t>
            </w:r>
            <w:r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Имеется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Электроэнергия  (мощность в наличии, возможность подключения, </w:t>
            </w:r>
            <w:r>
              <w:rPr>
                <w:b/>
                <w:color w:val="000000"/>
                <w:sz w:val="20"/>
                <w:szCs w:val="20"/>
              </w:rPr>
              <w:t>расстояние до точки подключения</w:t>
            </w:r>
            <w:r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/>
            </w:pPr>
            <w:r>
              <w:rPr>
                <w:color w:val="000000"/>
                <w:sz w:val="20"/>
                <w:szCs w:val="20"/>
              </w:rPr>
              <w:t xml:space="preserve">Имеется (ЗТП — закрытая трансформаторная подстанция 2 </w:t>
            </w:r>
            <w:r>
              <w:rPr>
                <w:color w:val="000000"/>
                <w:sz w:val="20"/>
                <w:szCs w:val="20"/>
                <w:lang w:val="en-US"/>
              </w:rPr>
              <w:t xml:space="preserve">x 250 </w:t>
            </w:r>
            <w:r>
              <w:rPr>
                <w:color w:val="000000"/>
                <w:sz w:val="20"/>
                <w:szCs w:val="20"/>
                <w:lang w:val="ru-RU"/>
              </w:rPr>
              <w:t>КВт</w:t>
            </w:r>
            <w:r>
              <w:rPr>
                <w:color w:val="000000"/>
                <w:sz w:val="20"/>
                <w:szCs w:val="20"/>
                <w:lang w:val="en-US"/>
              </w:rPr>
              <w:t>)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Отопление (состояние, имеется, есть возможность подключения, </w:t>
            </w:r>
            <w:r>
              <w:rPr>
                <w:b/>
                <w:color w:val="000000"/>
                <w:sz w:val="20"/>
                <w:szCs w:val="20"/>
              </w:rPr>
              <w:t>расстояние до точки подключения</w:t>
            </w:r>
            <w:r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  <w:lang w:val="ru-RU"/>
              </w:rPr>
            </w:pPr>
            <w:r>
              <w:rPr>
                <w:color w:val="000000"/>
                <w:sz w:val="20"/>
                <w:szCs w:val="20"/>
                <w:lang w:val="ru-RU"/>
              </w:rPr>
              <w:t>Газовая котельная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Газ (мощность в наличии, возможность подключения, </w:t>
            </w:r>
            <w:r>
              <w:rPr>
                <w:b/>
                <w:color w:val="000000"/>
                <w:sz w:val="20"/>
                <w:szCs w:val="20"/>
              </w:rPr>
              <w:t>расстояние до точки подключения</w:t>
            </w:r>
            <w:r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Теплогенератор (мощность - 80 кВт)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Канализация (состояние, имеется, есть возможность подключения, </w:t>
            </w:r>
            <w:r>
              <w:rPr>
                <w:b/>
                <w:color w:val="000000"/>
                <w:sz w:val="20"/>
                <w:szCs w:val="20"/>
              </w:rPr>
              <w:t>расстояние до точки подключения</w:t>
            </w:r>
            <w:r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Центральная</w:t>
            </w:r>
          </w:p>
        </w:tc>
      </w:tr>
      <w:tr>
        <w:trPr/>
        <w:tc>
          <w:tcPr>
            <w:tcW w:w="9866" w:type="dxa"/>
            <w:gridSpan w:val="2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Подъездные пути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Наличие собственных подъездных путей (имеется дорога с асфальтовым или грунтовым покрытием, отсутствует) 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 </w:t>
            </w:r>
            <w:r>
              <w:rPr>
                <w:color w:val="000000"/>
                <w:sz w:val="20"/>
                <w:szCs w:val="20"/>
              </w:rPr>
              <w:t>Имеется дорога с асфальтовым покрытием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Наличие собственной ж/д ветки (имеется, отсутствует)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Отсутствует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Расстояние до основных автомагистралей (км)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Автодорога республиканского значения: Ростов-Иваново-Н.Новгород — 0,010</w:t>
            </w:r>
          </w:p>
        </w:tc>
      </w:tr>
      <w:tr>
        <w:trPr>
          <w:trHeight w:val="345" w:hRule="atLeast"/>
        </w:trPr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Расстояние до ж/д станции (км) 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г.Тейково (Ивановская область) — 48 км.</w:t>
            </w:r>
          </w:p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г.Ростов (Ярославская область) — 53 км.</w:t>
            </w:r>
          </w:p>
        </w:tc>
      </w:tr>
      <w:tr>
        <w:trPr>
          <w:trHeight w:val="345" w:hRule="atLeast"/>
        </w:trPr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Расстояние до точки врезки ж/д путей (км)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Расстояние до ближайшего жилья (км)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0,1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Возможность расширения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Имеется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Возможность обособления территории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Имеется</w:t>
            </w:r>
          </w:p>
        </w:tc>
      </w:tr>
      <w:tr>
        <w:trPr/>
        <w:tc>
          <w:tcPr>
            <w:tcW w:w="9866" w:type="dxa"/>
            <w:gridSpan w:val="2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Юридическая документация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Вид права на объект и наличие правоустанавливающей документации на земельный участок под объектом (желательно приложить  выписки  из  ГЗК, либо КПТ)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Свидетельство о государственной регистрации права от 07.09.2015 г. № 37СС 649318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Кадастровая стоимость земельного участка, на котором находится объект (руб.)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1401831,00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Наличие технической документации, дата проведения последней инвентаризации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Техническая инвентаризация от   12.04.2007г. 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Обременения 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нет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  <w:u w:val="single"/>
              </w:rPr>
            </w:pPr>
            <w:r>
              <w:rPr>
                <w:color w:val="000000"/>
                <w:sz w:val="20"/>
                <w:szCs w:val="20"/>
                <w:u w:val="single"/>
              </w:rPr>
              <w:t>Предлагаемые формы реализации (форма участия)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  <w:u w:val="single"/>
              </w:rPr>
            </w:pPr>
            <w:r>
              <w:rPr>
                <w:color w:val="000000"/>
                <w:sz w:val="20"/>
                <w:szCs w:val="20"/>
                <w:u w:val="single"/>
              </w:rPr>
              <w:t>Аренда, продажа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  <w:u w:val="single"/>
              </w:rPr>
            </w:pPr>
            <w:r>
              <w:rPr>
                <w:color w:val="000000"/>
                <w:sz w:val="20"/>
                <w:szCs w:val="20"/>
                <w:u w:val="single"/>
              </w:rPr>
              <w:t>Процент готовности к реализации (состояние объекта)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 </w:t>
            </w:r>
            <w:r>
              <w:rPr>
                <w:color w:val="000000"/>
                <w:sz w:val="20"/>
                <w:szCs w:val="20"/>
              </w:rPr>
              <w:t>100%</w:t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Дополнительные сведения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</w:tr>
      <w:tr>
        <w:trPr/>
        <w:tc>
          <w:tcPr>
            <w:tcW w:w="574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b/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 xml:space="preserve">Дата подготовки сведений </w:t>
            </w:r>
          </w:p>
        </w:tc>
        <w:tc>
          <w:tcPr>
            <w:tcW w:w="4123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 </w:t>
            </w:r>
            <w:r>
              <w:rPr>
                <w:color w:val="000000"/>
                <w:sz w:val="20"/>
                <w:szCs w:val="20"/>
              </w:rPr>
              <w:t>30.01.2019г.</w:t>
            </w:r>
          </w:p>
        </w:tc>
      </w:tr>
    </w:tbl>
    <w:p>
      <w:pPr>
        <w:pStyle w:val="Normal"/>
        <w:rPr>
          <w:b/>
          <w:b/>
          <w:sz w:val="20"/>
          <w:szCs w:val="20"/>
          <w:lang w:val="en-US"/>
        </w:rPr>
      </w:pPr>
      <w:r>
        <w:rPr>
          <w:b/>
          <w:sz w:val="20"/>
          <w:szCs w:val="20"/>
          <w:lang w:val="en-US"/>
        </w:rPr>
      </w:r>
    </w:p>
    <w:p>
      <w:pPr>
        <w:pStyle w:val="Normal"/>
        <w:rPr>
          <w:b/>
          <w:b/>
          <w:sz w:val="20"/>
          <w:szCs w:val="20"/>
          <w:lang w:val="en-US"/>
        </w:rPr>
      </w:pPr>
      <w:r>
        <w:rPr>
          <w:b/>
          <w:sz w:val="20"/>
          <w:szCs w:val="20"/>
          <w:lang w:val="en-US"/>
        </w:rPr>
      </w:r>
    </w:p>
    <w:p>
      <w:pPr>
        <w:pStyle w:val="Normal"/>
        <w:jc w:val="center"/>
        <w:rPr>
          <w:rFonts w:cs="Times New Roman"/>
          <w:b/>
          <w:b/>
          <w:bCs/>
          <w:sz w:val="32"/>
          <w:szCs w:val="32"/>
        </w:rPr>
      </w:pPr>
      <w:r>
        <w:rPr>
          <w:rFonts w:cs="Times New Roman"/>
          <w:b/>
          <w:bCs/>
          <w:sz w:val="32"/>
          <w:szCs w:val="32"/>
        </w:rPr>
        <w:t>Схема расположения земельного участка, находящегося по адресу: Ивановская область, Ильтинский район, п. Ильинское-Хованское, ул. Садовая, д.39</w:t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32"/>
          <w:szCs w:val="32"/>
        </w:rPr>
      </w:pPr>
      <w:r>
        <w:rPr>
          <w:rFonts w:cs="Times New Roman"/>
          <w:b/>
          <w:bCs/>
          <w:sz w:val="32"/>
          <w:szCs w:val="32"/>
        </w:rPr>
      </w:r>
    </w:p>
    <w:p>
      <w:pPr>
        <w:pStyle w:val="Normal"/>
        <w:jc w:val="left"/>
        <w:rPr/>
      </w:pPr>
      <w:r>
        <w:rPr/>
        <w:drawing>
          <wp:inline distT="0" distB="0" distL="0" distR="0">
            <wp:extent cx="5720080" cy="3700145"/>
            <wp:effectExtent l="0" t="0" r="0" b="0"/>
            <wp:docPr id="23" name="Изображение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Изображение8" descr="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3700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before="240" w:after="60"/>
        <w:jc w:val="center"/>
        <w:rPr/>
      </w:pPr>
      <w:r>
        <w:rPr/>
        <w:drawing>
          <wp:inline distT="0" distB="0" distL="0" distR="0">
            <wp:extent cx="5347970" cy="3705860"/>
            <wp:effectExtent l="0" t="0" r="0" b="0"/>
            <wp:docPr id="24" name="Изображение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Изображение7" descr="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7970" cy="370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drawing>
          <wp:anchor behindDoc="0" distT="0" distB="0" distL="0" distR="0" simplePos="0" locked="0" layoutInCell="1" allowOverlap="1" relativeHeight="3">
            <wp:simplePos x="0" y="0"/>
            <wp:positionH relativeFrom="column">
              <wp:posOffset>779145</wp:posOffset>
            </wp:positionH>
            <wp:positionV relativeFrom="paragraph">
              <wp:posOffset>9157335</wp:posOffset>
            </wp:positionV>
            <wp:extent cx="4878070" cy="9554845"/>
            <wp:effectExtent l="0" t="0" r="0" b="0"/>
            <wp:wrapSquare wrapText="largest"/>
            <wp:docPr id="25" name="Изображение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Изображение6" descr="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8070" cy="9554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footerReference w:type="default" r:id="rId40"/>
      <w:type w:val="nextPage"/>
      <w:pgSz w:w="11906" w:h="16838"/>
      <w:pgMar w:left="1110" w:right="567" w:header="0" w:top="420" w:footer="709" w:bottom="851" w:gutter="0"/>
      <w:pgNumType w:fmt="decimal"/>
      <w:formProt w:val="false"/>
      <w:textDirection w:val="lrTb"/>
      <w:docGrid w:type="default" w:linePitch="360" w:charSpace="2047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Times New Roman">
    <w:charset w:val="cc"/>
    <w:family w:val="roman"/>
    <w:pitch w:val="variable"/>
  </w:font>
  <w:font w:name="Cambria">
    <w:charset w:val="cc"/>
    <w:family w:val="roman"/>
    <w:pitch w:val="variable"/>
  </w:font>
  <w:font w:name="Tahoma">
    <w:charset w:val="cc"/>
    <w:family w:val="roman"/>
    <w:pitch w:val="variable"/>
  </w:font>
  <w:font w:name="Bookman Old Style">
    <w:charset w:val="cc"/>
    <w:family w:val="roman"/>
    <w:pitch w:val="variable"/>
  </w:font>
  <w:font w:name="OpenSymbol">
    <w:altName w:val="Arial Unicode MS"/>
    <w:charset w:val="cc"/>
    <w:family w:val="roman"/>
    <w:pitch w:val="variable"/>
  </w:font>
  <w:font w:name="Liberation Sans">
    <w:altName w:val="Arial"/>
    <w:charset w:val="cc"/>
    <w:family w:val="roman"/>
    <w:pitch w:val="variable"/>
  </w:font>
  <w:font w:name="Arial">
    <w:charset w:val="cc"/>
    <w:family w:val="roman"/>
    <w:pitch w:val="variable"/>
  </w:font>
  <w:font w:name="Times New Roman CYR">
    <w:charset w:val="cc"/>
    <w:family w:val="roman"/>
    <w:pitch w:val="variable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23"/>
      <w:jc w:val="right"/>
      <w:rPr/>
    </w:pPr>
    <w:r>
      <w:rPr/>
      <w:fldChar w:fldCharType="begin"/>
    </w:r>
    <w:r>
      <w:instrText> PAGE </w:instrText>
    </w:r>
    <w:r>
      <w:fldChar w:fldCharType="separate"/>
    </w:r>
    <w:r>
      <w:t>11</w:t>
    </w:r>
    <w:r>
      <w:fldChar w:fldCharType="end"/>
    </w:r>
  </w:p>
  <w:p>
    <w:pPr>
      <w:pStyle w:val="Style23"/>
      <w:rPr/>
    </w:pPr>
    <w:r>
      <w:rPr/>
    </w:r>
  </w:p>
</w:ftr>
</file>

<file path=word/footer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23"/>
      <w:jc w:val="right"/>
      <w:rPr/>
    </w:pPr>
    <w:r>
      <w:rPr/>
      <w:fldChar w:fldCharType="begin"/>
    </w:r>
    <w:r>
      <w:instrText> PAGE </w:instrText>
    </w:r>
    <w:r>
      <w:fldChar w:fldCharType="separate"/>
    </w:r>
    <w:r>
      <w:t>14</w:t>
    </w:r>
    <w:r>
      <w:fldChar w:fldCharType="end"/>
    </w:r>
  </w:p>
  <w:p>
    <w:pPr>
      <w:pStyle w:val="Style23"/>
      <w:rPr/>
    </w:pPr>
    <w:r>
      <w:rPr/>
    </w:r>
  </w:p>
</w:ftr>
</file>

<file path=word/footer3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23"/>
      <w:jc w:val="right"/>
      <w:rPr/>
    </w:pPr>
    <w:r>
      <w:rPr/>
      <w:fldChar w:fldCharType="begin"/>
    </w:r>
    <w:r>
      <w:instrText> PAGE </w:instrText>
    </w:r>
    <w:r>
      <w:fldChar w:fldCharType="separate"/>
    </w:r>
    <w:r>
      <w:t>18</w:t>
    </w:r>
    <w:r>
      <w:fldChar w:fldCharType="end"/>
    </w:r>
  </w:p>
  <w:p>
    <w:pPr>
      <w:pStyle w:val="Style23"/>
      <w:rPr/>
    </w:pPr>
    <w:r>
      <w:rPr/>
    </w:r>
  </w:p>
</w:ftr>
</file>

<file path=word/footer4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23"/>
      <w:jc w:val="right"/>
      <w:rPr/>
    </w:pPr>
    <w:r>
      <w:rPr/>
      <w:fldChar w:fldCharType="begin"/>
    </w:r>
    <w:r>
      <w:instrText> PAGE </w:instrText>
    </w:r>
    <w:r>
      <w:fldChar w:fldCharType="separate"/>
    </w:r>
    <w:r>
      <w:t>19</w:t>
    </w:r>
    <w:r>
      <w:fldChar w:fldCharType="end"/>
    </w:r>
  </w:p>
  <w:p>
    <w:pPr>
      <w:pStyle w:val="Style23"/>
      <w:rPr/>
    </w:pPr>
    <w:r>
      <w:rPr/>
    </w:r>
  </w:p>
</w:ftr>
</file>

<file path=word/footer5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23"/>
      <w:jc w:val="right"/>
      <w:rPr/>
    </w:pPr>
    <w:r>
      <w:rPr/>
      <w:fldChar w:fldCharType="begin"/>
    </w:r>
    <w:r>
      <w:instrText> PAGE </w:instrText>
    </w:r>
    <w:r>
      <w:fldChar w:fldCharType="separate"/>
    </w:r>
    <w:r>
      <w:t>24</w:t>
    </w:r>
    <w:r>
      <w:fldChar w:fldCharType="end"/>
    </w:r>
  </w:p>
  <w:p>
    <w:pPr>
      <w:pStyle w:val="Style23"/>
      <w:rPr/>
    </w:pPr>
    <w:r>
      <w:rPr/>
    </w:r>
  </w:p>
</w:ftr>
</file>

<file path=word/footer6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23"/>
      <w:jc w:val="right"/>
      <w:rPr/>
    </w:pPr>
    <w:r>
      <w:rPr/>
    </w:r>
  </w:p>
</w:ftr>
</file>

<file path=word/footer7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23"/>
      <w:jc w:val="right"/>
      <w:rPr/>
    </w:pPr>
    <w:r>
      <w:rPr/>
      <w:fldChar w:fldCharType="begin"/>
    </w:r>
    <w:r>
      <w:instrText> PAGE </w:instrText>
    </w:r>
    <w:r>
      <w:fldChar w:fldCharType="separate"/>
    </w:r>
    <w:r>
      <w:t>35</w:t>
    </w:r>
    <w:r>
      <w:fldChar w:fldCharType="end"/>
    </w:r>
  </w:p>
  <w:p>
    <w:pPr>
      <w:pStyle w:val="Style23"/>
      <w:rPr/>
    </w:pPr>
    <w:r>
      <w:rPr/>
    </w:r>
  </w:p>
</w:ftr>
</file>

<file path=word/settings.xml><?xml version="1.0" encoding="utf-8"?>
<w:settings xmlns:w="http://schemas.openxmlformats.org/wordprocessingml/2006/main">
  <w:zoom w:percent="100"/>
  <w:embedSystemFonts/>
  <w:defaultTabStop w:val="708"/>
  <w:autoHyphenation w:val="true"/>
  <w:compat/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Times New Roman" w:hAnsi="Times New Roman" w:eastAsia="Times New Roman" w:cs="Times New Roman"/>
        <w:lang w:val="ru-RU" w:eastAsia="ru-RU" w:bidi="ar-SA"/>
      </w:rPr>
    </w:rPrDefault>
    <w:pPrDefault>
      <w:pPr/>
    </w:pPrDefault>
  </w:docDefaults>
  <w:style w:type="paragraph" w:styleId="Normal">
    <w:name w:val="Normal"/>
    <w:qFormat/>
    <w:pPr>
      <w:widowControl w:val="false"/>
      <w:suppressAutoHyphens w:val="false"/>
      <w:overflowPunct w:val="false"/>
      <w:bidi w:val="0"/>
      <w:jc w:val="left"/>
    </w:pPr>
    <w:rPr>
      <w:rFonts w:ascii="Times New Roman" w:hAnsi="Times New Roman" w:eastAsia="Times New Roman" w:cs="Times New Roman"/>
      <w:color w:val="00000A"/>
      <w:sz w:val="20"/>
      <w:szCs w:val="20"/>
      <w:lang w:val="ru-RU" w:eastAsia="ru-RU" w:bidi="ar-SA"/>
    </w:rPr>
  </w:style>
  <w:style w:type="paragraph" w:styleId="1">
    <w:name w:val="Heading 1"/>
    <w:basedOn w:val="Style17"/>
    <w:qFormat/>
    <w:pPr/>
    <w:rPr/>
  </w:style>
  <w:style w:type="paragraph" w:styleId="2">
    <w:name w:val="Heading 2"/>
    <w:basedOn w:val="Normal"/>
    <w:qFormat/>
    <w:pPr>
      <w:keepNext/>
      <w:widowControl/>
      <w:spacing w:lineRule="auto" w:line="276" w:before="240" w:after="60"/>
      <w:outlineLvl w:val="1"/>
    </w:pPr>
    <w:rPr>
      <w:rFonts w:ascii="Cambria" w:hAnsi="Cambria" w:cs="Cambria"/>
      <w:b/>
      <w:bCs/>
      <w:i/>
      <w:iCs/>
      <w:sz w:val="28"/>
      <w:szCs w:val="28"/>
      <w:lang w:eastAsia="en-US"/>
    </w:rPr>
  </w:style>
  <w:style w:type="character" w:styleId="DefaultParagraphFont">
    <w:name w:val="Default Paragraph Font"/>
    <w:qFormat/>
    <w:rPr/>
  </w:style>
  <w:style w:type="character" w:styleId="21">
    <w:name w:val="Заголовок 2 Знак"/>
    <w:basedOn w:val="DefaultParagraphFont"/>
    <w:qFormat/>
    <w:rPr>
      <w:rFonts w:ascii="Cambria" w:hAnsi="Cambria" w:cs="Cambria"/>
      <w:b/>
      <w:bCs/>
      <w:i/>
      <w:iCs/>
      <w:sz w:val="28"/>
      <w:szCs w:val="28"/>
      <w:lang w:eastAsia="en-US"/>
    </w:rPr>
  </w:style>
  <w:style w:type="character" w:styleId="Style12">
    <w:name w:val="Интернет-ссылка"/>
    <w:basedOn w:val="DefaultParagraphFont"/>
    <w:rPr>
      <w:color w:val="0000FF"/>
      <w:u w:val="single"/>
    </w:rPr>
  </w:style>
  <w:style w:type="character" w:styleId="Style13">
    <w:name w:val="Верхний колонтитул Знак"/>
    <w:basedOn w:val="DefaultParagraphFont"/>
    <w:qFormat/>
    <w:rPr/>
  </w:style>
  <w:style w:type="character" w:styleId="Style14">
    <w:name w:val="Нижний колонтитул Знак"/>
    <w:basedOn w:val="DefaultParagraphFont"/>
    <w:qFormat/>
    <w:rPr/>
  </w:style>
  <w:style w:type="character" w:styleId="Style15">
    <w:name w:val="Текст выноски Знак"/>
    <w:basedOn w:val="DefaultParagraphFont"/>
    <w:qFormat/>
    <w:rPr>
      <w:rFonts w:ascii="Tahoma" w:hAnsi="Tahoma" w:cs="Tahoma"/>
      <w:sz w:val="16"/>
      <w:szCs w:val="16"/>
    </w:rPr>
  </w:style>
  <w:style w:type="character" w:styleId="ListLabel1">
    <w:name w:val="ListLabel 1"/>
    <w:qFormat/>
    <w:rPr>
      <w:rFonts w:cs="Times New Roman"/>
    </w:rPr>
  </w:style>
  <w:style w:type="character" w:styleId="ListLabel2">
    <w:name w:val="ListLabel 2"/>
    <w:qFormat/>
    <w:rPr>
      <w:rFonts w:cs="Times New Roman"/>
    </w:rPr>
  </w:style>
  <w:style w:type="character" w:styleId="ListLabel3">
    <w:name w:val="ListLabel 3"/>
    <w:qFormat/>
    <w:rPr>
      <w:rFonts w:ascii="Bookman Old Style" w:hAnsi="Bookman Old Style" w:cs="Courier New"/>
      <w:b/>
      <w:sz w:val="24"/>
    </w:rPr>
  </w:style>
  <w:style w:type="character" w:styleId="ListLabel4">
    <w:name w:val="ListLabel 4"/>
    <w:qFormat/>
    <w:rPr>
      <w:rFonts w:cs="Courier New"/>
    </w:rPr>
  </w:style>
  <w:style w:type="character" w:styleId="ListLabel5">
    <w:name w:val="ListLabel 5"/>
    <w:qFormat/>
    <w:rPr>
      <w:rFonts w:cs="Wingdings"/>
    </w:rPr>
  </w:style>
  <w:style w:type="character" w:styleId="ListLabel6">
    <w:name w:val="ListLabel 6"/>
    <w:qFormat/>
    <w:rPr>
      <w:rFonts w:cs="Symbol"/>
    </w:rPr>
  </w:style>
  <w:style w:type="character" w:styleId="ListLabel7">
    <w:name w:val="ListLabel 7"/>
    <w:qFormat/>
    <w:rPr>
      <w:rFonts w:cs="Courier New"/>
    </w:rPr>
  </w:style>
  <w:style w:type="character" w:styleId="ListLabel8">
    <w:name w:val="ListLabel 8"/>
    <w:qFormat/>
    <w:rPr>
      <w:rFonts w:cs="Wingdings"/>
    </w:rPr>
  </w:style>
  <w:style w:type="character" w:styleId="ListLabel9">
    <w:name w:val="ListLabel 9"/>
    <w:qFormat/>
    <w:rPr>
      <w:rFonts w:cs="Symbol"/>
    </w:rPr>
  </w:style>
  <w:style w:type="character" w:styleId="ListLabel10">
    <w:name w:val="ListLabel 10"/>
    <w:qFormat/>
    <w:rPr>
      <w:rFonts w:cs="Courier New"/>
    </w:rPr>
  </w:style>
  <w:style w:type="character" w:styleId="ListLabel11">
    <w:name w:val="ListLabel 11"/>
    <w:qFormat/>
    <w:rPr>
      <w:rFonts w:cs="Wingdings"/>
    </w:rPr>
  </w:style>
  <w:style w:type="character" w:styleId="ListLabel12">
    <w:name w:val="ListLabel 12"/>
    <w:qFormat/>
    <w:rPr>
      <w:color w:val="000000"/>
    </w:rPr>
  </w:style>
  <w:style w:type="character" w:styleId="ListLabel13">
    <w:name w:val="ListLabel 13"/>
    <w:qFormat/>
    <w:rPr>
      <w:color w:val="000000"/>
    </w:rPr>
  </w:style>
  <w:style w:type="character" w:styleId="ListLabel14">
    <w:name w:val="ListLabel 14"/>
    <w:qFormat/>
    <w:rPr>
      <w:color w:val="00000A"/>
    </w:rPr>
  </w:style>
  <w:style w:type="character" w:styleId="ListLabel15">
    <w:name w:val="ListLabel 15"/>
    <w:qFormat/>
    <w:rPr>
      <w:color w:val="000000"/>
    </w:rPr>
  </w:style>
  <w:style w:type="character" w:styleId="ListLabel16">
    <w:name w:val="ListLabel 16"/>
    <w:qFormat/>
    <w:rPr>
      <w:color w:val="000000"/>
    </w:rPr>
  </w:style>
  <w:style w:type="character" w:styleId="ListLabel17">
    <w:name w:val="ListLabel 17"/>
    <w:qFormat/>
    <w:rPr>
      <w:color w:val="000000"/>
    </w:rPr>
  </w:style>
  <w:style w:type="character" w:styleId="ListLabel18">
    <w:name w:val="ListLabel 18"/>
    <w:qFormat/>
    <w:rPr>
      <w:color w:val="000000"/>
    </w:rPr>
  </w:style>
  <w:style w:type="character" w:styleId="ListLabel19">
    <w:name w:val="ListLabel 19"/>
    <w:qFormat/>
    <w:rPr>
      <w:color w:val="000000"/>
    </w:rPr>
  </w:style>
  <w:style w:type="character" w:styleId="ListLabel20">
    <w:name w:val="ListLabel 20"/>
    <w:qFormat/>
    <w:rPr>
      <w:color w:val="000000"/>
    </w:rPr>
  </w:style>
  <w:style w:type="character" w:styleId="ListLabel21">
    <w:name w:val="ListLabel 21"/>
    <w:qFormat/>
    <w:rPr>
      <w:rFonts w:ascii="Bookman Old Style" w:hAnsi="Bookman Old Style" w:cs="Courier New"/>
      <w:sz w:val="24"/>
    </w:rPr>
  </w:style>
  <w:style w:type="character" w:styleId="ListLabel22">
    <w:name w:val="ListLabel 22"/>
    <w:qFormat/>
    <w:rPr>
      <w:rFonts w:cs="Courier New"/>
    </w:rPr>
  </w:style>
  <w:style w:type="character" w:styleId="ListLabel23">
    <w:name w:val="ListLabel 23"/>
    <w:qFormat/>
    <w:rPr>
      <w:rFonts w:cs="Wingdings"/>
    </w:rPr>
  </w:style>
  <w:style w:type="character" w:styleId="ListLabel24">
    <w:name w:val="ListLabel 24"/>
    <w:qFormat/>
    <w:rPr>
      <w:rFonts w:cs="Symbol"/>
    </w:rPr>
  </w:style>
  <w:style w:type="character" w:styleId="ListLabel25">
    <w:name w:val="ListLabel 25"/>
    <w:qFormat/>
    <w:rPr>
      <w:rFonts w:cs="Courier New"/>
    </w:rPr>
  </w:style>
  <w:style w:type="character" w:styleId="ListLabel26">
    <w:name w:val="ListLabel 26"/>
    <w:qFormat/>
    <w:rPr>
      <w:rFonts w:cs="Wingdings"/>
    </w:rPr>
  </w:style>
  <w:style w:type="character" w:styleId="ListLabel27">
    <w:name w:val="ListLabel 27"/>
    <w:qFormat/>
    <w:rPr>
      <w:rFonts w:cs="Symbol"/>
    </w:rPr>
  </w:style>
  <w:style w:type="character" w:styleId="ListLabel28">
    <w:name w:val="ListLabel 28"/>
    <w:qFormat/>
    <w:rPr>
      <w:rFonts w:cs="Courier New"/>
    </w:rPr>
  </w:style>
  <w:style w:type="character" w:styleId="ListLabel29">
    <w:name w:val="ListLabel 29"/>
    <w:qFormat/>
    <w:rPr>
      <w:rFonts w:cs="Wingdings"/>
    </w:rPr>
  </w:style>
  <w:style w:type="character" w:styleId="ListLabel30">
    <w:name w:val="ListLabel 30"/>
    <w:qFormat/>
    <w:rPr>
      <w:rFonts w:ascii="Bookman Old Style" w:hAnsi="Bookman Old Style" w:cs="Courier New"/>
      <w:b/>
      <w:sz w:val="24"/>
    </w:rPr>
  </w:style>
  <w:style w:type="character" w:styleId="ListLabel31">
    <w:name w:val="ListLabel 31"/>
    <w:qFormat/>
    <w:rPr>
      <w:rFonts w:cs="Courier New"/>
    </w:rPr>
  </w:style>
  <w:style w:type="character" w:styleId="ListLabel32">
    <w:name w:val="ListLabel 32"/>
    <w:qFormat/>
    <w:rPr>
      <w:rFonts w:cs="Wingdings"/>
    </w:rPr>
  </w:style>
  <w:style w:type="character" w:styleId="ListLabel33">
    <w:name w:val="ListLabel 33"/>
    <w:qFormat/>
    <w:rPr>
      <w:rFonts w:cs="Symbol"/>
    </w:rPr>
  </w:style>
  <w:style w:type="character" w:styleId="ListLabel34">
    <w:name w:val="ListLabel 34"/>
    <w:qFormat/>
    <w:rPr>
      <w:rFonts w:cs="Courier New"/>
    </w:rPr>
  </w:style>
  <w:style w:type="character" w:styleId="ListLabel35">
    <w:name w:val="ListLabel 35"/>
    <w:qFormat/>
    <w:rPr>
      <w:rFonts w:cs="Wingdings"/>
    </w:rPr>
  </w:style>
  <w:style w:type="character" w:styleId="ListLabel36">
    <w:name w:val="ListLabel 36"/>
    <w:qFormat/>
    <w:rPr>
      <w:rFonts w:cs="Symbol"/>
    </w:rPr>
  </w:style>
  <w:style w:type="character" w:styleId="ListLabel37">
    <w:name w:val="ListLabel 37"/>
    <w:qFormat/>
    <w:rPr>
      <w:rFonts w:cs="Courier New"/>
    </w:rPr>
  </w:style>
  <w:style w:type="character" w:styleId="ListLabel38">
    <w:name w:val="ListLabel 38"/>
    <w:qFormat/>
    <w:rPr>
      <w:rFonts w:cs="Wingdings"/>
    </w:rPr>
  </w:style>
  <w:style w:type="character" w:styleId="ListLabel39">
    <w:name w:val="ListLabel 39"/>
    <w:qFormat/>
    <w:rPr>
      <w:rFonts w:ascii="Bookman Old Style" w:hAnsi="Bookman Old Style" w:cs="Courier New"/>
      <w:sz w:val="24"/>
    </w:rPr>
  </w:style>
  <w:style w:type="character" w:styleId="ListLabel40">
    <w:name w:val="ListLabel 40"/>
    <w:qFormat/>
    <w:rPr>
      <w:rFonts w:cs="Courier New"/>
    </w:rPr>
  </w:style>
  <w:style w:type="character" w:styleId="ListLabel41">
    <w:name w:val="ListLabel 41"/>
    <w:qFormat/>
    <w:rPr>
      <w:rFonts w:cs="Wingdings"/>
    </w:rPr>
  </w:style>
  <w:style w:type="character" w:styleId="ListLabel42">
    <w:name w:val="ListLabel 42"/>
    <w:qFormat/>
    <w:rPr>
      <w:rFonts w:cs="Symbol"/>
    </w:rPr>
  </w:style>
  <w:style w:type="character" w:styleId="ListLabel43">
    <w:name w:val="ListLabel 43"/>
    <w:qFormat/>
    <w:rPr>
      <w:rFonts w:cs="Courier New"/>
    </w:rPr>
  </w:style>
  <w:style w:type="character" w:styleId="ListLabel44">
    <w:name w:val="ListLabel 44"/>
    <w:qFormat/>
    <w:rPr>
      <w:rFonts w:cs="Wingdings"/>
    </w:rPr>
  </w:style>
  <w:style w:type="character" w:styleId="ListLabel45">
    <w:name w:val="ListLabel 45"/>
    <w:qFormat/>
    <w:rPr>
      <w:rFonts w:cs="Symbol"/>
    </w:rPr>
  </w:style>
  <w:style w:type="character" w:styleId="ListLabel46">
    <w:name w:val="ListLabel 46"/>
    <w:qFormat/>
    <w:rPr>
      <w:rFonts w:cs="Courier New"/>
    </w:rPr>
  </w:style>
  <w:style w:type="character" w:styleId="ListLabel47">
    <w:name w:val="ListLabel 47"/>
    <w:qFormat/>
    <w:rPr>
      <w:rFonts w:cs="Wingdings"/>
    </w:rPr>
  </w:style>
  <w:style w:type="character" w:styleId="ListLabel48">
    <w:name w:val="ListLabel 48"/>
    <w:qFormat/>
    <w:rPr>
      <w:rFonts w:ascii="Bookman Old Style" w:hAnsi="Bookman Old Style" w:cs="Courier New"/>
      <w:b/>
      <w:sz w:val="24"/>
    </w:rPr>
  </w:style>
  <w:style w:type="character" w:styleId="ListLabel49">
    <w:name w:val="ListLabel 49"/>
    <w:qFormat/>
    <w:rPr>
      <w:rFonts w:cs="Courier New"/>
    </w:rPr>
  </w:style>
  <w:style w:type="character" w:styleId="ListLabel50">
    <w:name w:val="ListLabel 50"/>
    <w:qFormat/>
    <w:rPr>
      <w:rFonts w:cs="Wingdings"/>
    </w:rPr>
  </w:style>
  <w:style w:type="character" w:styleId="ListLabel51">
    <w:name w:val="ListLabel 51"/>
    <w:qFormat/>
    <w:rPr>
      <w:rFonts w:cs="Symbol"/>
    </w:rPr>
  </w:style>
  <w:style w:type="character" w:styleId="ListLabel52">
    <w:name w:val="ListLabel 52"/>
    <w:qFormat/>
    <w:rPr>
      <w:rFonts w:cs="Courier New"/>
    </w:rPr>
  </w:style>
  <w:style w:type="character" w:styleId="ListLabel53">
    <w:name w:val="ListLabel 53"/>
    <w:qFormat/>
    <w:rPr>
      <w:rFonts w:cs="Wingdings"/>
    </w:rPr>
  </w:style>
  <w:style w:type="character" w:styleId="ListLabel54">
    <w:name w:val="ListLabel 54"/>
    <w:qFormat/>
    <w:rPr>
      <w:rFonts w:cs="Symbol"/>
    </w:rPr>
  </w:style>
  <w:style w:type="character" w:styleId="ListLabel55">
    <w:name w:val="ListLabel 55"/>
    <w:qFormat/>
    <w:rPr>
      <w:rFonts w:cs="Courier New"/>
    </w:rPr>
  </w:style>
  <w:style w:type="character" w:styleId="ListLabel56">
    <w:name w:val="ListLabel 56"/>
    <w:qFormat/>
    <w:rPr>
      <w:rFonts w:cs="Wingdings"/>
    </w:rPr>
  </w:style>
  <w:style w:type="character" w:styleId="ListLabel57">
    <w:name w:val="ListLabel 57"/>
    <w:qFormat/>
    <w:rPr>
      <w:rFonts w:ascii="Bookman Old Style" w:hAnsi="Bookman Old Style" w:cs="Courier New"/>
      <w:sz w:val="24"/>
    </w:rPr>
  </w:style>
  <w:style w:type="character" w:styleId="ListLabel58">
    <w:name w:val="ListLabel 58"/>
    <w:qFormat/>
    <w:rPr>
      <w:rFonts w:cs="Courier New"/>
    </w:rPr>
  </w:style>
  <w:style w:type="character" w:styleId="ListLabel59">
    <w:name w:val="ListLabel 59"/>
    <w:qFormat/>
    <w:rPr>
      <w:rFonts w:cs="Wingdings"/>
    </w:rPr>
  </w:style>
  <w:style w:type="character" w:styleId="ListLabel60">
    <w:name w:val="ListLabel 60"/>
    <w:qFormat/>
    <w:rPr>
      <w:rFonts w:cs="Symbol"/>
    </w:rPr>
  </w:style>
  <w:style w:type="character" w:styleId="ListLabel61">
    <w:name w:val="ListLabel 61"/>
    <w:qFormat/>
    <w:rPr>
      <w:rFonts w:cs="Courier New"/>
    </w:rPr>
  </w:style>
  <w:style w:type="character" w:styleId="ListLabel62">
    <w:name w:val="ListLabel 62"/>
    <w:qFormat/>
    <w:rPr>
      <w:rFonts w:cs="Wingdings"/>
    </w:rPr>
  </w:style>
  <w:style w:type="character" w:styleId="ListLabel63">
    <w:name w:val="ListLabel 63"/>
    <w:qFormat/>
    <w:rPr>
      <w:rFonts w:cs="Symbol"/>
    </w:rPr>
  </w:style>
  <w:style w:type="character" w:styleId="ListLabel64">
    <w:name w:val="ListLabel 64"/>
    <w:qFormat/>
    <w:rPr>
      <w:rFonts w:cs="Courier New"/>
    </w:rPr>
  </w:style>
  <w:style w:type="character" w:styleId="ListLabel65">
    <w:name w:val="ListLabel 65"/>
    <w:qFormat/>
    <w:rPr>
      <w:rFonts w:cs="Wingdings"/>
    </w:rPr>
  </w:style>
  <w:style w:type="character" w:styleId="ListLabel66">
    <w:name w:val="ListLabel 66"/>
    <w:qFormat/>
    <w:rPr>
      <w:rFonts w:ascii="Bookman Old Style" w:hAnsi="Bookman Old Style" w:cs="Courier New"/>
      <w:b/>
      <w:sz w:val="24"/>
    </w:rPr>
  </w:style>
  <w:style w:type="character" w:styleId="ListLabel67">
    <w:name w:val="ListLabel 67"/>
    <w:qFormat/>
    <w:rPr>
      <w:rFonts w:cs="Courier New"/>
    </w:rPr>
  </w:style>
  <w:style w:type="character" w:styleId="ListLabel68">
    <w:name w:val="ListLabel 68"/>
    <w:qFormat/>
    <w:rPr>
      <w:rFonts w:cs="Wingdings"/>
    </w:rPr>
  </w:style>
  <w:style w:type="character" w:styleId="ListLabel69">
    <w:name w:val="ListLabel 69"/>
    <w:qFormat/>
    <w:rPr>
      <w:rFonts w:cs="Symbol"/>
    </w:rPr>
  </w:style>
  <w:style w:type="character" w:styleId="ListLabel70">
    <w:name w:val="ListLabel 70"/>
    <w:qFormat/>
    <w:rPr>
      <w:rFonts w:cs="Courier New"/>
    </w:rPr>
  </w:style>
  <w:style w:type="character" w:styleId="ListLabel71">
    <w:name w:val="ListLabel 71"/>
    <w:qFormat/>
    <w:rPr>
      <w:rFonts w:cs="Wingdings"/>
    </w:rPr>
  </w:style>
  <w:style w:type="character" w:styleId="ListLabel72">
    <w:name w:val="ListLabel 72"/>
    <w:qFormat/>
    <w:rPr>
      <w:rFonts w:cs="Symbol"/>
    </w:rPr>
  </w:style>
  <w:style w:type="character" w:styleId="ListLabel73">
    <w:name w:val="ListLabel 73"/>
    <w:qFormat/>
    <w:rPr>
      <w:rFonts w:cs="Courier New"/>
    </w:rPr>
  </w:style>
  <w:style w:type="character" w:styleId="ListLabel74">
    <w:name w:val="ListLabel 74"/>
    <w:qFormat/>
    <w:rPr>
      <w:rFonts w:cs="Wingdings"/>
    </w:rPr>
  </w:style>
  <w:style w:type="character" w:styleId="ListLabel75">
    <w:name w:val="ListLabel 75"/>
    <w:qFormat/>
    <w:rPr>
      <w:rFonts w:ascii="Bookman Old Style" w:hAnsi="Bookman Old Style" w:cs="Courier New"/>
      <w:sz w:val="24"/>
    </w:rPr>
  </w:style>
  <w:style w:type="character" w:styleId="ListLabel76">
    <w:name w:val="ListLabel 76"/>
    <w:qFormat/>
    <w:rPr>
      <w:rFonts w:cs="Courier New"/>
    </w:rPr>
  </w:style>
  <w:style w:type="character" w:styleId="ListLabel77">
    <w:name w:val="ListLabel 77"/>
    <w:qFormat/>
    <w:rPr>
      <w:rFonts w:cs="Wingdings"/>
    </w:rPr>
  </w:style>
  <w:style w:type="character" w:styleId="ListLabel78">
    <w:name w:val="ListLabel 78"/>
    <w:qFormat/>
    <w:rPr>
      <w:rFonts w:cs="Symbol"/>
    </w:rPr>
  </w:style>
  <w:style w:type="character" w:styleId="ListLabel79">
    <w:name w:val="ListLabel 79"/>
    <w:qFormat/>
    <w:rPr>
      <w:rFonts w:cs="Courier New"/>
    </w:rPr>
  </w:style>
  <w:style w:type="character" w:styleId="ListLabel80">
    <w:name w:val="ListLabel 80"/>
    <w:qFormat/>
    <w:rPr>
      <w:rFonts w:cs="Wingdings"/>
    </w:rPr>
  </w:style>
  <w:style w:type="character" w:styleId="ListLabel81">
    <w:name w:val="ListLabel 81"/>
    <w:qFormat/>
    <w:rPr>
      <w:rFonts w:cs="Symbol"/>
    </w:rPr>
  </w:style>
  <w:style w:type="character" w:styleId="ListLabel82">
    <w:name w:val="ListLabel 82"/>
    <w:qFormat/>
    <w:rPr>
      <w:rFonts w:cs="Courier New"/>
    </w:rPr>
  </w:style>
  <w:style w:type="character" w:styleId="ListLabel83">
    <w:name w:val="ListLabel 83"/>
    <w:qFormat/>
    <w:rPr>
      <w:rFonts w:cs="Wingdings"/>
    </w:rPr>
  </w:style>
  <w:style w:type="character" w:styleId="ListLabel84">
    <w:name w:val="ListLabel 84"/>
    <w:qFormat/>
    <w:rPr>
      <w:rFonts w:ascii="Bookman Old Style" w:hAnsi="Bookman Old Style" w:cs="Courier New"/>
      <w:b/>
      <w:sz w:val="24"/>
    </w:rPr>
  </w:style>
  <w:style w:type="character" w:styleId="ListLabel85">
    <w:name w:val="ListLabel 85"/>
    <w:qFormat/>
    <w:rPr>
      <w:rFonts w:cs="Courier New"/>
    </w:rPr>
  </w:style>
  <w:style w:type="character" w:styleId="ListLabel86">
    <w:name w:val="ListLabel 86"/>
    <w:qFormat/>
    <w:rPr>
      <w:rFonts w:cs="Wingdings"/>
    </w:rPr>
  </w:style>
  <w:style w:type="character" w:styleId="ListLabel87">
    <w:name w:val="ListLabel 87"/>
    <w:qFormat/>
    <w:rPr>
      <w:rFonts w:cs="Symbol"/>
    </w:rPr>
  </w:style>
  <w:style w:type="character" w:styleId="ListLabel88">
    <w:name w:val="ListLabel 88"/>
    <w:qFormat/>
    <w:rPr>
      <w:rFonts w:cs="Courier New"/>
    </w:rPr>
  </w:style>
  <w:style w:type="character" w:styleId="ListLabel89">
    <w:name w:val="ListLabel 89"/>
    <w:qFormat/>
    <w:rPr>
      <w:rFonts w:cs="Wingdings"/>
    </w:rPr>
  </w:style>
  <w:style w:type="character" w:styleId="ListLabel90">
    <w:name w:val="ListLabel 90"/>
    <w:qFormat/>
    <w:rPr>
      <w:rFonts w:cs="Symbol"/>
    </w:rPr>
  </w:style>
  <w:style w:type="character" w:styleId="ListLabel91">
    <w:name w:val="ListLabel 91"/>
    <w:qFormat/>
    <w:rPr>
      <w:rFonts w:cs="Courier New"/>
    </w:rPr>
  </w:style>
  <w:style w:type="character" w:styleId="ListLabel92">
    <w:name w:val="ListLabel 92"/>
    <w:qFormat/>
    <w:rPr>
      <w:rFonts w:cs="Wingdings"/>
    </w:rPr>
  </w:style>
  <w:style w:type="character" w:styleId="ListLabel93">
    <w:name w:val="ListLabel 93"/>
    <w:qFormat/>
    <w:rPr>
      <w:rFonts w:ascii="Bookman Old Style" w:hAnsi="Bookman Old Style" w:cs="Courier New"/>
      <w:sz w:val="24"/>
    </w:rPr>
  </w:style>
  <w:style w:type="character" w:styleId="ListLabel94">
    <w:name w:val="ListLabel 94"/>
    <w:qFormat/>
    <w:rPr>
      <w:rFonts w:cs="Courier New"/>
    </w:rPr>
  </w:style>
  <w:style w:type="character" w:styleId="ListLabel95">
    <w:name w:val="ListLabel 95"/>
    <w:qFormat/>
    <w:rPr>
      <w:rFonts w:cs="Wingdings"/>
    </w:rPr>
  </w:style>
  <w:style w:type="character" w:styleId="ListLabel96">
    <w:name w:val="ListLabel 96"/>
    <w:qFormat/>
    <w:rPr>
      <w:rFonts w:cs="Symbol"/>
    </w:rPr>
  </w:style>
  <w:style w:type="character" w:styleId="ListLabel97">
    <w:name w:val="ListLabel 97"/>
    <w:qFormat/>
    <w:rPr>
      <w:rFonts w:cs="Courier New"/>
    </w:rPr>
  </w:style>
  <w:style w:type="character" w:styleId="ListLabel98">
    <w:name w:val="ListLabel 98"/>
    <w:qFormat/>
    <w:rPr>
      <w:rFonts w:cs="Wingdings"/>
    </w:rPr>
  </w:style>
  <w:style w:type="character" w:styleId="ListLabel99">
    <w:name w:val="ListLabel 99"/>
    <w:qFormat/>
    <w:rPr>
      <w:rFonts w:cs="Symbol"/>
    </w:rPr>
  </w:style>
  <w:style w:type="character" w:styleId="ListLabel100">
    <w:name w:val="ListLabel 100"/>
    <w:qFormat/>
    <w:rPr>
      <w:rFonts w:cs="Courier New"/>
    </w:rPr>
  </w:style>
  <w:style w:type="character" w:styleId="ListLabel101">
    <w:name w:val="ListLabel 101"/>
    <w:qFormat/>
    <w:rPr>
      <w:rFonts w:cs="Wingdings"/>
    </w:rPr>
  </w:style>
  <w:style w:type="character" w:styleId="ListLabel102">
    <w:name w:val="ListLabel 102"/>
    <w:qFormat/>
    <w:rPr>
      <w:rFonts w:ascii="Bookman Old Style" w:hAnsi="Bookman Old Style" w:cs="Courier New"/>
      <w:b/>
      <w:sz w:val="24"/>
    </w:rPr>
  </w:style>
  <w:style w:type="character" w:styleId="ListLabel103">
    <w:name w:val="ListLabel 103"/>
    <w:qFormat/>
    <w:rPr>
      <w:rFonts w:cs="Courier New"/>
    </w:rPr>
  </w:style>
  <w:style w:type="character" w:styleId="ListLabel104">
    <w:name w:val="ListLabel 104"/>
    <w:qFormat/>
    <w:rPr>
      <w:rFonts w:cs="Wingdings"/>
    </w:rPr>
  </w:style>
  <w:style w:type="character" w:styleId="ListLabel105">
    <w:name w:val="ListLabel 105"/>
    <w:qFormat/>
    <w:rPr>
      <w:rFonts w:cs="Symbol"/>
    </w:rPr>
  </w:style>
  <w:style w:type="character" w:styleId="ListLabel106">
    <w:name w:val="ListLabel 106"/>
    <w:qFormat/>
    <w:rPr>
      <w:rFonts w:cs="Courier New"/>
    </w:rPr>
  </w:style>
  <w:style w:type="character" w:styleId="ListLabel107">
    <w:name w:val="ListLabel 107"/>
    <w:qFormat/>
    <w:rPr>
      <w:rFonts w:cs="Wingdings"/>
    </w:rPr>
  </w:style>
  <w:style w:type="character" w:styleId="ListLabel108">
    <w:name w:val="ListLabel 108"/>
    <w:qFormat/>
    <w:rPr>
      <w:rFonts w:cs="Symbol"/>
    </w:rPr>
  </w:style>
  <w:style w:type="character" w:styleId="ListLabel109">
    <w:name w:val="ListLabel 109"/>
    <w:qFormat/>
    <w:rPr>
      <w:rFonts w:cs="Courier New"/>
    </w:rPr>
  </w:style>
  <w:style w:type="character" w:styleId="ListLabel110">
    <w:name w:val="ListLabel 110"/>
    <w:qFormat/>
    <w:rPr>
      <w:rFonts w:cs="Wingdings"/>
    </w:rPr>
  </w:style>
  <w:style w:type="character" w:styleId="ListLabel111">
    <w:name w:val="ListLabel 111"/>
    <w:qFormat/>
    <w:rPr>
      <w:rFonts w:ascii="Bookman Old Style" w:hAnsi="Bookman Old Style" w:cs="Courier New"/>
      <w:sz w:val="24"/>
    </w:rPr>
  </w:style>
  <w:style w:type="character" w:styleId="ListLabel112">
    <w:name w:val="ListLabel 112"/>
    <w:qFormat/>
    <w:rPr>
      <w:rFonts w:cs="Courier New"/>
    </w:rPr>
  </w:style>
  <w:style w:type="character" w:styleId="ListLabel113">
    <w:name w:val="ListLabel 113"/>
    <w:qFormat/>
    <w:rPr>
      <w:rFonts w:cs="Wingdings"/>
    </w:rPr>
  </w:style>
  <w:style w:type="character" w:styleId="ListLabel114">
    <w:name w:val="ListLabel 114"/>
    <w:qFormat/>
    <w:rPr>
      <w:rFonts w:cs="Symbol"/>
    </w:rPr>
  </w:style>
  <w:style w:type="character" w:styleId="ListLabel115">
    <w:name w:val="ListLabel 115"/>
    <w:qFormat/>
    <w:rPr>
      <w:rFonts w:cs="Courier New"/>
    </w:rPr>
  </w:style>
  <w:style w:type="character" w:styleId="ListLabel116">
    <w:name w:val="ListLabel 116"/>
    <w:qFormat/>
    <w:rPr>
      <w:rFonts w:cs="Wingdings"/>
    </w:rPr>
  </w:style>
  <w:style w:type="character" w:styleId="ListLabel117">
    <w:name w:val="ListLabel 117"/>
    <w:qFormat/>
    <w:rPr>
      <w:rFonts w:cs="Symbol"/>
    </w:rPr>
  </w:style>
  <w:style w:type="character" w:styleId="ListLabel118">
    <w:name w:val="ListLabel 118"/>
    <w:qFormat/>
    <w:rPr>
      <w:rFonts w:cs="Courier New"/>
    </w:rPr>
  </w:style>
  <w:style w:type="character" w:styleId="ListLabel119">
    <w:name w:val="ListLabel 119"/>
    <w:qFormat/>
    <w:rPr>
      <w:rFonts w:cs="Wingdings"/>
    </w:rPr>
  </w:style>
  <w:style w:type="character" w:styleId="ListLabel120">
    <w:name w:val="ListLabel 120"/>
    <w:qFormat/>
    <w:rPr>
      <w:rFonts w:ascii="Bookman Old Style" w:hAnsi="Bookman Old Style" w:cs="Courier New"/>
      <w:b/>
      <w:sz w:val="24"/>
    </w:rPr>
  </w:style>
  <w:style w:type="character" w:styleId="ListLabel121">
    <w:name w:val="ListLabel 121"/>
    <w:qFormat/>
    <w:rPr>
      <w:rFonts w:cs="Courier New"/>
    </w:rPr>
  </w:style>
  <w:style w:type="character" w:styleId="ListLabel122">
    <w:name w:val="ListLabel 122"/>
    <w:qFormat/>
    <w:rPr>
      <w:rFonts w:cs="Wingdings"/>
    </w:rPr>
  </w:style>
  <w:style w:type="character" w:styleId="ListLabel123">
    <w:name w:val="ListLabel 123"/>
    <w:qFormat/>
    <w:rPr>
      <w:rFonts w:cs="Symbol"/>
    </w:rPr>
  </w:style>
  <w:style w:type="character" w:styleId="ListLabel124">
    <w:name w:val="ListLabel 124"/>
    <w:qFormat/>
    <w:rPr>
      <w:rFonts w:cs="Courier New"/>
    </w:rPr>
  </w:style>
  <w:style w:type="character" w:styleId="ListLabel125">
    <w:name w:val="ListLabel 125"/>
    <w:qFormat/>
    <w:rPr>
      <w:rFonts w:cs="Wingdings"/>
    </w:rPr>
  </w:style>
  <w:style w:type="character" w:styleId="ListLabel126">
    <w:name w:val="ListLabel 126"/>
    <w:qFormat/>
    <w:rPr>
      <w:rFonts w:cs="Symbol"/>
    </w:rPr>
  </w:style>
  <w:style w:type="character" w:styleId="ListLabel127">
    <w:name w:val="ListLabel 127"/>
    <w:qFormat/>
    <w:rPr>
      <w:rFonts w:cs="Courier New"/>
    </w:rPr>
  </w:style>
  <w:style w:type="character" w:styleId="ListLabel128">
    <w:name w:val="ListLabel 128"/>
    <w:qFormat/>
    <w:rPr>
      <w:rFonts w:cs="Wingdings"/>
    </w:rPr>
  </w:style>
  <w:style w:type="character" w:styleId="ListLabel129">
    <w:name w:val="ListLabel 129"/>
    <w:qFormat/>
    <w:rPr>
      <w:rFonts w:ascii="Bookman Old Style" w:hAnsi="Bookman Old Style" w:cs="Courier New"/>
      <w:sz w:val="24"/>
    </w:rPr>
  </w:style>
  <w:style w:type="character" w:styleId="ListLabel130">
    <w:name w:val="ListLabel 130"/>
    <w:qFormat/>
    <w:rPr>
      <w:rFonts w:cs="Courier New"/>
    </w:rPr>
  </w:style>
  <w:style w:type="character" w:styleId="ListLabel131">
    <w:name w:val="ListLabel 131"/>
    <w:qFormat/>
    <w:rPr>
      <w:rFonts w:cs="Wingdings"/>
    </w:rPr>
  </w:style>
  <w:style w:type="character" w:styleId="ListLabel132">
    <w:name w:val="ListLabel 132"/>
    <w:qFormat/>
    <w:rPr>
      <w:rFonts w:cs="Symbol"/>
    </w:rPr>
  </w:style>
  <w:style w:type="character" w:styleId="ListLabel133">
    <w:name w:val="ListLabel 133"/>
    <w:qFormat/>
    <w:rPr>
      <w:rFonts w:cs="Courier New"/>
    </w:rPr>
  </w:style>
  <w:style w:type="character" w:styleId="ListLabel134">
    <w:name w:val="ListLabel 134"/>
    <w:qFormat/>
    <w:rPr>
      <w:rFonts w:cs="Wingdings"/>
    </w:rPr>
  </w:style>
  <w:style w:type="character" w:styleId="ListLabel135">
    <w:name w:val="ListLabel 135"/>
    <w:qFormat/>
    <w:rPr>
      <w:rFonts w:cs="Symbol"/>
    </w:rPr>
  </w:style>
  <w:style w:type="character" w:styleId="ListLabel136">
    <w:name w:val="ListLabel 136"/>
    <w:qFormat/>
    <w:rPr>
      <w:rFonts w:cs="Courier New"/>
    </w:rPr>
  </w:style>
  <w:style w:type="character" w:styleId="ListLabel137">
    <w:name w:val="ListLabel 137"/>
    <w:qFormat/>
    <w:rPr>
      <w:rFonts w:cs="Wingdings"/>
    </w:rPr>
  </w:style>
  <w:style w:type="character" w:styleId="ListLabel138">
    <w:name w:val="ListLabel 138"/>
    <w:qFormat/>
    <w:rPr>
      <w:rFonts w:ascii="Bookman Old Style" w:hAnsi="Bookman Old Style" w:cs="Courier New"/>
      <w:b/>
      <w:sz w:val="24"/>
    </w:rPr>
  </w:style>
  <w:style w:type="character" w:styleId="ListLabel139">
    <w:name w:val="ListLabel 139"/>
    <w:qFormat/>
    <w:rPr>
      <w:rFonts w:cs="Courier New"/>
    </w:rPr>
  </w:style>
  <w:style w:type="character" w:styleId="ListLabel140">
    <w:name w:val="ListLabel 140"/>
    <w:qFormat/>
    <w:rPr>
      <w:rFonts w:cs="Wingdings"/>
    </w:rPr>
  </w:style>
  <w:style w:type="character" w:styleId="ListLabel141">
    <w:name w:val="ListLabel 141"/>
    <w:qFormat/>
    <w:rPr>
      <w:rFonts w:cs="Symbol"/>
    </w:rPr>
  </w:style>
  <w:style w:type="character" w:styleId="ListLabel142">
    <w:name w:val="ListLabel 142"/>
    <w:qFormat/>
    <w:rPr>
      <w:rFonts w:cs="Courier New"/>
    </w:rPr>
  </w:style>
  <w:style w:type="character" w:styleId="ListLabel143">
    <w:name w:val="ListLabel 143"/>
    <w:qFormat/>
    <w:rPr>
      <w:rFonts w:cs="Wingdings"/>
    </w:rPr>
  </w:style>
  <w:style w:type="character" w:styleId="ListLabel144">
    <w:name w:val="ListLabel 144"/>
    <w:qFormat/>
    <w:rPr>
      <w:rFonts w:cs="Symbol"/>
    </w:rPr>
  </w:style>
  <w:style w:type="character" w:styleId="ListLabel145">
    <w:name w:val="ListLabel 145"/>
    <w:qFormat/>
    <w:rPr>
      <w:rFonts w:cs="Courier New"/>
    </w:rPr>
  </w:style>
  <w:style w:type="character" w:styleId="ListLabel146">
    <w:name w:val="ListLabel 146"/>
    <w:qFormat/>
    <w:rPr>
      <w:rFonts w:cs="Wingdings"/>
    </w:rPr>
  </w:style>
  <w:style w:type="character" w:styleId="ListLabel147">
    <w:name w:val="ListLabel 147"/>
    <w:qFormat/>
    <w:rPr>
      <w:rFonts w:ascii="Bookman Old Style" w:hAnsi="Bookman Old Style" w:cs="Courier New"/>
      <w:sz w:val="24"/>
    </w:rPr>
  </w:style>
  <w:style w:type="character" w:styleId="ListLabel148">
    <w:name w:val="ListLabel 148"/>
    <w:qFormat/>
    <w:rPr>
      <w:rFonts w:cs="Courier New"/>
    </w:rPr>
  </w:style>
  <w:style w:type="character" w:styleId="ListLabel149">
    <w:name w:val="ListLabel 149"/>
    <w:qFormat/>
    <w:rPr>
      <w:rFonts w:cs="Wingdings"/>
    </w:rPr>
  </w:style>
  <w:style w:type="character" w:styleId="ListLabel150">
    <w:name w:val="ListLabel 150"/>
    <w:qFormat/>
    <w:rPr>
      <w:rFonts w:cs="Symbol"/>
    </w:rPr>
  </w:style>
  <w:style w:type="character" w:styleId="ListLabel151">
    <w:name w:val="ListLabel 151"/>
    <w:qFormat/>
    <w:rPr>
      <w:rFonts w:cs="Courier New"/>
    </w:rPr>
  </w:style>
  <w:style w:type="character" w:styleId="ListLabel152">
    <w:name w:val="ListLabel 152"/>
    <w:qFormat/>
    <w:rPr>
      <w:rFonts w:cs="Wingdings"/>
    </w:rPr>
  </w:style>
  <w:style w:type="character" w:styleId="ListLabel153">
    <w:name w:val="ListLabel 153"/>
    <w:qFormat/>
    <w:rPr>
      <w:rFonts w:cs="Symbol"/>
    </w:rPr>
  </w:style>
  <w:style w:type="character" w:styleId="ListLabel154">
    <w:name w:val="ListLabel 154"/>
    <w:qFormat/>
    <w:rPr>
      <w:rFonts w:cs="Courier New"/>
    </w:rPr>
  </w:style>
  <w:style w:type="character" w:styleId="ListLabel155">
    <w:name w:val="ListLabel 155"/>
    <w:qFormat/>
    <w:rPr>
      <w:rFonts w:cs="Wingdings"/>
    </w:rPr>
  </w:style>
  <w:style w:type="character" w:styleId="ListLabel156">
    <w:name w:val="ListLabel 156"/>
    <w:qFormat/>
    <w:rPr>
      <w:rFonts w:ascii="Bookman Old Style" w:hAnsi="Bookman Old Style" w:cs="Courier New"/>
      <w:b/>
      <w:sz w:val="24"/>
    </w:rPr>
  </w:style>
  <w:style w:type="character" w:styleId="ListLabel157">
    <w:name w:val="ListLabel 157"/>
    <w:qFormat/>
    <w:rPr>
      <w:rFonts w:cs="Courier New"/>
    </w:rPr>
  </w:style>
  <w:style w:type="character" w:styleId="ListLabel158">
    <w:name w:val="ListLabel 158"/>
    <w:qFormat/>
    <w:rPr>
      <w:rFonts w:cs="Wingdings"/>
    </w:rPr>
  </w:style>
  <w:style w:type="character" w:styleId="ListLabel159">
    <w:name w:val="ListLabel 159"/>
    <w:qFormat/>
    <w:rPr>
      <w:rFonts w:cs="Symbol"/>
    </w:rPr>
  </w:style>
  <w:style w:type="character" w:styleId="ListLabel160">
    <w:name w:val="ListLabel 160"/>
    <w:qFormat/>
    <w:rPr>
      <w:rFonts w:cs="Courier New"/>
    </w:rPr>
  </w:style>
  <w:style w:type="character" w:styleId="ListLabel161">
    <w:name w:val="ListLabel 161"/>
    <w:qFormat/>
    <w:rPr>
      <w:rFonts w:cs="Wingdings"/>
    </w:rPr>
  </w:style>
  <w:style w:type="character" w:styleId="ListLabel162">
    <w:name w:val="ListLabel 162"/>
    <w:qFormat/>
    <w:rPr>
      <w:rFonts w:cs="Symbol"/>
    </w:rPr>
  </w:style>
  <w:style w:type="character" w:styleId="ListLabel163">
    <w:name w:val="ListLabel 163"/>
    <w:qFormat/>
    <w:rPr>
      <w:rFonts w:cs="Courier New"/>
    </w:rPr>
  </w:style>
  <w:style w:type="character" w:styleId="ListLabel164">
    <w:name w:val="ListLabel 164"/>
    <w:qFormat/>
    <w:rPr>
      <w:rFonts w:cs="Wingdings"/>
    </w:rPr>
  </w:style>
  <w:style w:type="character" w:styleId="ListLabel165">
    <w:name w:val="ListLabel 165"/>
    <w:qFormat/>
    <w:rPr>
      <w:rFonts w:ascii="Bookman Old Style" w:hAnsi="Bookman Old Style" w:cs="Courier New"/>
      <w:sz w:val="24"/>
    </w:rPr>
  </w:style>
  <w:style w:type="character" w:styleId="ListLabel166">
    <w:name w:val="ListLabel 166"/>
    <w:qFormat/>
    <w:rPr>
      <w:rFonts w:cs="Courier New"/>
    </w:rPr>
  </w:style>
  <w:style w:type="character" w:styleId="ListLabel167">
    <w:name w:val="ListLabel 167"/>
    <w:qFormat/>
    <w:rPr>
      <w:rFonts w:cs="Wingdings"/>
    </w:rPr>
  </w:style>
  <w:style w:type="character" w:styleId="ListLabel168">
    <w:name w:val="ListLabel 168"/>
    <w:qFormat/>
    <w:rPr>
      <w:rFonts w:cs="Symbol"/>
    </w:rPr>
  </w:style>
  <w:style w:type="character" w:styleId="ListLabel169">
    <w:name w:val="ListLabel 169"/>
    <w:qFormat/>
    <w:rPr>
      <w:rFonts w:cs="Courier New"/>
    </w:rPr>
  </w:style>
  <w:style w:type="character" w:styleId="ListLabel170">
    <w:name w:val="ListLabel 170"/>
    <w:qFormat/>
    <w:rPr>
      <w:rFonts w:cs="Wingdings"/>
    </w:rPr>
  </w:style>
  <w:style w:type="character" w:styleId="ListLabel171">
    <w:name w:val="ListLabel 171"/>
    <w:qFormat/>
    <w:rPr>
      <w:rFonts w:cs="Symbol"/>
    </w:rPr>
  </w:style>
  <w:style w:type="character" w:styleId="ListLabel172">
    <w:name w:val="ListLabel 172"/>
    <w:qFormat/>
    <w:rPr>
      <w:rFonts w:cs="Courier New"/>
    </w:rPr>
  </w:style>
  <w:style w:type="character" w:styleId="ListLabel173">
    <w:name w:val="ListLabel 173"/>
    <w:qFormat/>
    <w:rPr>
      <w:rFonts w:cs="Wingdings"/>
    </w:rPr>
  </w:style>
  <w:style w:type="character" w:styleId="ListLabel174">
    <w:name w:val="ListLabel 174"/>
    <w:qFormat/>
    <w:rPr>
      <w:rFonts w:ascii="Bookman Old Style" w:hAnsi="Bookman Old Style" w:cs="Courier New"/>
      <w:b/>
      <w:sz w:val="24"/>
    </w:rPr>
  </w:style>
  <w:style w:type="character" w:styleId="ListLabel175">
    <w:name w:val="ListLabel 175"/>
    <w:qFormat/>
    <w:rPr>
      <w:rFonts w:cs="Courier New"/>
    </w:rPr>
  </w:style>
  <w:style w:type="character" w:styleId="ListLabel176">
    <w:name w:val="ListLabel 176"/>
    <w:qFormat/>
    <w:rPr>
      <w:rFonts w:cs="Wingdings"/>
    </w:rPr>
  </w:style>
  <w:style w:type="character" w:styleId="ListLabel177">
    <w:name w:val="ListLabel 177"/>
    <w:qFormat/>
    <w:rPr>
      <w:rFonts w:cs="Symbol"/>
    </w:rPr>
  </w:style>
  <w:style w:type="character" w:styleId="ListLabel178">
    <w:name w:val="ListLabel 178"/>
    <w:qFormat/>
    <w:rPr>
      <w:rFonts w:cs="Courier New"/>
    </w:rPr>
  </w:style>
  <w:style w:type="character" w:styleId="ListLabel179">
    <w:name w:val="ListLabel 179"/>
    <w:qFormat/>
    <w:rPr>
      <w:rFonts w:cs="Wingdings"/>
    </w:rPr>
  </w:style>
  <w:style w:type="character" w:styleId="ListLabel180">
    <w:name w:val="ListLabel 180"/>
    <w:qFormat/>
    <w:rPr>
      <w:rFonts w:cs="Symbol"/>
    </w:rPr>
  </w:style>
  <w:style w:type="character" w:styleId="ListLabel181">
    <w:name w:val="ListLabel 181"/>
    <w:qFormat/>
    <w:rPr>
      <w:rFonts w:cs="Courier New"/>
    </w:rPr>
  </w:style>
  <w:style w:type="character" w:styleId="ListLabel182">
    <w:name w:val="ListLabel 182"/>
    <w:qFormat/>
    <w:rPr>
      <w:rFonts w:cs="Wingdings"/>
    </w:rPr>
  </w:style>
  <w:style w:type="character" w:styleId="ListLabel183">
    <w:name w:val="ListLabel 183"/>
    <w:qFormat/>
    <w:rPr>
      <w:rFonts w:ascii="Bookman Old Style" w:hAnsi="Bookman Old Style" w:cs="Courier New"/>
      <w:sz w:val="24"/>
    </w:rPr>
  </w:style>
  <w:style w:type="character" w:styleId="ListLabel184">
    <w:name w:val="ListLabel 184"/>
    <w:qFormat/>
    <w:rPr>
      <w:rFonts w:cs="Courier New"/>
    </w:rPr>
  </w:style>
  <w:style w:type="character" w:styleId="ListLabel185">
    <w:name w:val="ListLabel 185"/>
    <w:qFormat/>
    <w:rPr>
      <w:rFonts w:cs="Wingdings"/>
    </w:rPr>
  </w:style>
  <w:style w:type="character" w:styleId="ListLabel186">
    <w:name w:val="ListLabel 186"/>
    <w:qFormat/>
    <w:rPr>
      <w:rFonts w:cs="Symbol"/>
    </w:rPr>
  </w:style>
  <w:style w:type="character" w:styleId="ListLabel187">
    <w:name w:val="ListLabel 187"/>
    <w:qFormat/>
    <w:rPr>
      <w:rFonts w:cs="Courier New"/>
    </w:rPr>
  </w:style>
  <w:style w:type="character" w:styleId="ListLabel188">
    <w:name w:val="ListLabel 188"/>
    <w:qFormat/>
    <w:rPr>
      <w:rFonts w:cs="Wingdings"/>
    </w:rPr>
  </w:style>
  <w:style w:type="character" w:styleId="ListLabel189">
    <w:name w:val="ListLabel 189"/>
    <w:qFormat/>
    <w:rPr>
      <w:rFonts w:cs="Symbol"/>
    </w:rPr>
  </w:style>
  <w:style w:type="character" w:styleId="ListLabel190">
    <w:name w:val="ListLabel 190"/>
    <w:qFormat/>
    <w:rPr>
      <w:rFonts w:cs="Courier New"/>
    </w:rPr>
  </w:style>
  <w:style w:type="character" w:styleId="ListLabel191">
    <w:name w:val="ListLabel 191"/>
    <w:qFormat/>
    <w:rPr>
      <w:rFonts w:cs="Wingdings"/>
    </w:rPr>
  </w:style>
  <w:style w:type="character" w:styleId="ListLabel192">
    <w:name w:val="ListLabel 192"/>
    <w:qFormat/>
    <w:rPr>
      <w:rFonts w:ascii="Bookman Old Style" w:hAnsi="Bookman Old Style" w:cs="Courier New"/>
      <w:b/>
      <w:sz w:val="24"/>
    </w:rPr>
  </w:style>
  <w:style w:type="character" w:styleId="ListLabel193">
    <w:name w:val="ListLabel 193"/>
    <w:qFormat/>
    <w:rPr>
      <w:rFonts w:cs="Courier New"/>
    </w:rPr>
  </w:style>
  <w:style w:type="character" w:styleId="ListLabel194">
    <w:name w:val="ListLabel 194"/>
    <w:qFormat/>
    <w:rPr>
      <w:rFonts w:cs="Wingdings"/>
    </w:rPr>
  </w:style>
  <w:style w:type="character" w:styleId="ListLabel195">
    <w:name w:val="ListLabel 195"/>
    <w:qFormat/>
    <w:rPr>
      <w:rFonts w:cs="Symbol"/>
    </w:rPr>
  </w:style>
  <w:style w:type="character" w:styleId="ListLabel196">
    <w:name w:val="ListLabel 196"/>
    <w:qFormat/>
    <w:rPr>
      <w:rFonts w:cs="Courier New"/>
    </w:rPr>
  </w:style>
  <w:style w:type="character" w:styleId="ListLabel197">
    <w:name w:val="ListLabel 197"/>
    <w:qFormat/>
    <w:rPr>
      <w:rFonts w:cs="Wingdings"/>
    </w:rPr>
  </w:style>
  <w:style w:type="character" w:styleId="ListLabel198">
    <w:name w:val="ListLabel 198"/>
    <w:qFormat/>
    <w:rPr>
      <w:rFonts w:cs="Symbol"/>
    </w:rPr>
  </w:style>
  <w:style w:type="character" w:styleId="ListLabel199">
    <w:name w:val="ListLabel 199"/>
    <w:qFormat/>
    <w:rPr>
      <w:rFonts w:cs="Courier New"/>
    </w:rPr>
  </w:style>
  <w:style w:type="character" w:styleId="ListLabel200">
    <w:name w:val="ListLabel 200"/>
    <w:qFormat/>
    <w:rPr>
      <w:rFonts w:cs="Wingdings"/>
    </w:rPr>
  </w:style>
  <w:style w:type="character" w:styleId="ListLabel201">
    <w:name w:val="ListLabel 201"/>
    <w:qFormat/>
    <w:rPr>
      <w:rFonts w:ascii="Bookman Old Style" w:hAnsi="Bookman Old Style" w:cs="Courier New"/>
      <w:sz w:val="24"/>
    </w:rPr>
  </w:style>
  <w:style w:type="character" w:styleId="ListLabel202">
    <w:name w:val="ListLabel 202"/>
    <w:qFormat/>
    <w:rPr>
      <w:rFonts w:cs="Courier New"/>
    </w:rPr>
  </w:style>
  <w:style w:type="character" w:styleId="ListLabel203">
    <w:name w:val="ListLabel 203"/>
    <w:qFormat/>
    <w:rPr>
      <w:rFonts w:cs="Wingdings"/>
    </w:rPr>
  </w:style>
  <w:style w:type="character" w:styleId="ListLabel204">
    <w:name w:val="ListLabel 204"/>
    <w:qFormat/>
    <w:rPr>
      <w:rFonts w:cs="Symbol"/>
    </w:rPr>
  </w:style>
  <w:style w:type="character" w:styleId="ListLabel205">
    <w:name w:val="ListLabel 205"/>
    <w:qFormat/>
    <w:rPr>
      <w:rFonts w:cs="Courier New"/>
    </w:rPr>
  </w:style>
  <w:style w:type="character" w:styleId="ListLabel206">
    <w:name w:val="ListLabel 206"/>
    <w:qFormat/>
    <w:rPr>
      <w:rFonts w:cs="Wingdings"/>
    </w:rPr>
  </w:style>
  <w:style w:type="character" w:styleId="ListLabel207">
    <w:name w:val="ListLabel 207"/>
    <w:qFormat/>
    <w:rPr>
      <w:rFonts w:cs="Symbol"/>
    </w:rPr>
  </w:style>
  <w:style w:type="character" w:styleId="ListLabel208">
    <w:name w:val="ListLabel 208"/>
    <w:qFormat/>
    <w:rPr>
      <w:rFonts w:cs="Courier New"/>
    </w:rPr>
  </w:style>
  <w:style w:type="character" w:styleId="ListLabel209">
    <w:name w:val="ListLabel 209"/>
    <w:qFormat/>
    <w:rPr>
      <w:rFonts w:cs="Wingdings"/>
    </w:rPr>
  </w:style>
  <w:style w:type="character" w:styleId="ListLabel210">
    <w:name w:val="ListLabel 210"/>
    <w:qFormat/>
    <w:rPr>
      <w:rFonts w:ascii="Bookman Old Style" w:hAnsi="Bookman Old Style" w:cs="Courier New"/>
      <w:b/>
      <w:sz w:val="24"/>
    </w:rPr>
  </w:style>
  <w:style w:type="character" w:styleId="ListLabel211">
    <w:name w:val="ListLabel 211"/>
    <w:qFormat/>
    <w:rPr>
      <w:rFonts w:cs="Courier New"/>
    </w:rPr>
  </w:style>
  <w:style w:type="character" w:styleId="ListLabel212">
    <w:name w:val="ListLabel 212"/>
    <w:qFormat/>
    <w:rPr>
      <w:rFonts w:cs="Wingdings"/>
    </w:rPr>
  </w:style>
  <w:style w:type="character" w:styleId="ListLabel213">
    <w:name w:val="ListLabel 213"/>
    <w:qFormat/>
    <w:rPr>
      <w:rFonts w:cs="Symbol"/>
    </w:rPr>
  </w:style>
  <w:style w:type="character" w:styleId="ListLabel214">
    <w:name w:val="ListLabel 214"/>
    <w:qFormat/>
    <w:rPr>
      <w:rFonts w:cs="Courier New"/>
    </w:rPr>
  </w:style>
  <w:style w:type="character" w:styleId="ListLabel215">
    <w:name w:val="ListLabel 215"/>
    <w:qFormat/>
    <w:rPr>
      <w:rFonts w:cs="Wingdings"/>
    </w:rPr>
  </w:style>
  <w:style w:type="character" w:styleId="ListLabel216">
    <w:name w:val="ListLabel 216"/>
    <w:qFormat/>
    <w:rPr>
      <w:rFonts w:cs="Symbol"/>
    </w:rPr>
  </w:style>
  <w:style w:type="character" w:styleId="ListLabel217">
    <w:name w:val="ListLabel 217"/>
    <w:qFormat/>
    <w:rPr>
      <w:rFonts w:cs="Courier New"/>
    </w:rPr>
  </w:style>
  <w:style w:type="character" w:styleId="ListLabel218">
    <w:name w:val="ListLabel 218"/>
    <w:qFormat/>
    <w:rPr>
      <w:rFonts w:cs="Wingdings"/>
    </w:rPr>
  </w:style>
  <w:style w:type="character" w:styleId="ListLabel219">
    <w:name w:val="ListLabel 219"/>
    <w:qFormat/>
    <w:rPr>
      <w:rFonts w:ascii="Bookman Old Style" w:hAnsi="Bookman Old Style" w:cs="Courier New"/>
      <w:sz w:val="24"/>
    </w:rPr>
  </w:style>
  <w:style w:type="character" w:styleId="ListLabel220">
    <w:name w:val="ListLabel 220"/>
    <w:qFormat/>
    <w:rPr>
      <w:rFonts w:cs="Courier New"/>
    </w:rPr>
  </w:style>
  <w:style w:type="character" w:styleId="ListLabel221">
    <w:name w:val="ListLabel 221"/>
    <w:qFormat/>
    <w:rPr>
      <w:rFonts w:cs="Wingdings"/>
    </w:rPr>
  </w:style>
  <w:style w:type="character" w:styleId="ListLabel222">
    <w:name w:val="ListLabel 222"/>
    <w:qFormat/>
    <w:rPr>
      <w:rFonts w:cs="Symbol"/>
    </w:rPr>
  </w:style>
  <w:style w:type="character" w:styleId="ListLabel223">
    <w:name w:val="ListLabel 223"/>
    <w:qFormat/>
    <w:rPr>
      <w:rFonts w:cs="Courier New"/>
    </w:rPr>
  </w:style>
  <w:style w:type="character" w:styleId="ListLabel224">
    <w:name w:val="ListLabel 224"/>
    <w:qFormat/>
    <w:rPr>
      <w:rFonts w:cs="Wingdings"/>
    </w:rPr>
  </w:style>
  <w:style w:type="character" w:styleId="ListLabel225">
    <w:name w:val="ListLabel 225"/>
    <w:qFormat/>
    <w:rPr>
      <w:rFonts w:cs="Symbol"/>
    </w:rPr>
  </w:style>
  <w:style w:type="character" w:styleId="ListLabel226">
    <w:name w:val="ListLabel 226"/>
    <w:qFormat/>
    <w:rPr>
      <w:rFonts w:cs="Courier New"/>
    </w:rPr>
  </w:style>
  <w:style w:type="character" w:styleId="ListLabel227">
    <w:name w:val="ListLabel 227"/>
    <w:qFormat/>
    <w:rPr>
      <w:rFonts w:cs="Wingdings"/>
    </w:rPr>
  </w:style>
  <w:style w:type="character" w:styleId="ListLabel228">
    <w:name w:val="ListLabel 228"/>
    <w:qFormat/>
    <w:rPr>
      <w:rFonts w:ascii="Bookman Old Style" w:hAnsi="Bookman Old Style" w:cs="Courier New"/>
      <w:b/>
      <w:sz w:val="24"/>
    </w:rPr>
  </w:style>
  <w:style w:type="character" w:styleId="ListLabel229">
    <w:name w:val="ListLabel 229"/>
    <w:qFormat/>
    <w:rPr>
      <w:rFonts w:cs="Courier New"/>
    </w:rPr>
  </w:style>
  <w:style w:type="character" w:styleId="ListLabel230">
    <w:name w:val="ListLabel 230"/>
    <w:qFormat/>
    <w:rPr>
      <w:rFonts w:cs="Wingdings"/>
    </w:rPr>
  </w:style>
  <w:style w:type="character" w:styleId="ListLabel231">
    <w:name w:val="ListLabel 231"/>
    <w:qFormat/>
    <w:rPr>
      <w:rFonts w:cs="Symbol"/>
    </w:rPr>
  </w:style>
  <w:style w:type="character" w:styleId="ListLabel232">
    <w:name w:val="ListLabel 232"/>
    <w:qFormat/>
    <w:rPr>
      <w:rFonts w:cs="Courier New"/>
    </w:rPr>
  </w:style>
  <w:style w:type="character" w:styleId="ListLabel233">
    <w:name w:val="ListLabel 233"/>
    <w:qFormat/>
    <w:rPr>
      <w:rFonts w:cs="Wingdings"/>
    </w:rPr>
  </w:style>
  <w:style w:type="character" w:styleId="ListLabel234">
    <w:name w:val="ListLabel 234"/>
    <w:qFormat/>
    <w:rPr>
      <w:rFonts w:cs="Symbol"/>
    </w:rPr>
  </w:style>
  <w:style w:type="character" w:styleId="ListLabel235">
    <w:name w:val="ListLabel 235"/>
    <w:qFormat/>
    <w:rPr>
      <w:rFonts w:cs="Courier New"/>
    </w:rPr>
  </w:style>
  <w:style w:type="character" w:styleId="ListLabel236">
    <w:name w:val="ListLabel 236"/>
    <w:qFormat/>
    <w:rPr>
      <w:rFonts w:cs="Wingdings"/>
    </w:rPr>
  </w:style>
  <w:style w:type="character" w:styleId="ListLabel237">
    <w:name w:val="ListLabel 237"/>
    <w:qFormat/>
    <w:rPr>
      <w:rFonts w:ascii="Bookman Old Style" w:hAnsi="Bookman Old Style" w:cs="Courier New"/>
      <w:sz w:val="24"/>
    </w:rPr>
  </w:style>
  <w:style w:type="character" w:styleId="ListLabel238">
    <w:name w:val="ListLabel 238"/>
    <w:qFormat/>
    <w:rPr>
      <w:rFonts w:cs="Courier New"/>
    </w:rPr>
  </w:style>
  <w:style w:type="character" w:styleId="ListLabel239">
    <w:name w:val="ListLabel 239"/>
    <w:qFormat/>
    <w:rPr>
      <w:rFonts w:cs="Wingdings"/>
    </w:rPr>
  </w:style>
  <w:style w:type="character" w:styleId="ListLabel240">
    <w:name w:val="ListLabel 240"/>
    <w:qFormat/>
    <w:rPr>
      <w:rFonts w:cs="Symbol"/>
    </w:rPr>
  </w:style>
  <w:style w:type="character" w:styleId="ListLabel241">
    <w:name w:val="ListLabel 241"/>
    <w:qFormat/>
    <w:rPr>
      <w:rFonts w:cs="Courier New"/>
    </w:rPr>
  </w:style>
  <w:style w:type="character" w:styleId="ListLabel242">
    <w:name w:val="ListLabel 242"/>
    <w:qFormat/>
    <w:rPr>
      <w:rFonts w:cs="Wingdings"/>
    </w:rPr>
  </w:style>
  <w:style w:type="character" w:styleId="ListLabel243">
    <w:name w:val="ListLabel 243"/>
    <w:qFormat/>
    <w:rPr>
      <w:rFonts w:cs="Symbol"/>
    </w:rPr>
  </w:style>
  <w:style w:type="character" w:styleId="ListLabel244">
    <w:name w:val="ListLabel 244"/>
    <w:qFormat/>
    <w:rPr>
      <w:rFonts w:cs="Courier New"/>
    </w:rPr>
  </w:style>
  <w:style w:type="character" w:styleId="ListLabel245">
    <w:name w:val="ListLabel 245"/>
    <w:qFormat/>
    <w:rPr>
      <w:rFonts w:cs="Wingdings"/>
    </w:rPr>
  </w:style>
  <w:style w:type="character" w:styleId="ListLabel246">
    <w:name w:val="ListLabel 246"/>
    <w:qFormat/>
    <w:rPr>
      <w:rFonts w:ascii="Bookman Old Style" w:hAnsi="Bookman Old Style" w:cs="Courier New"/>
      <w:b/>
      <w:sz w:val="24"/>
    </w:rPr>
  </w:style>
  <w:style w:type="character" w:styleId="ListLabel247">
    <w:name w:val="ListLabel 247"/>
    <w:qFormat/>
    <w:rPr>
      <w:rFonts w:cs="Courier New"/>
    </w:rPr>
  </w:style>
  <w:style w:type="character" w:styleId="ListLabel248">
    <w:name w:val="ListLabel 248"/>
    <w:qFormat/>
    <w:rPr>
      <w:rFonts w:cs="Wingdings"/>
    </w:rPr>
  </w:style>
  <w:style w:type="character" w:styleId="ListLabel249">
    <w:name w:val="ListLabel 249"/>
    <w:qFormat/>
    <w:rPr>
      <w:rFonts w:cs="Symbol"/>
    </w:rPr>
  </w:style>
  <w:style w:type="character" w:styleId="ListLabel250">
    <w:name w:val="ListLabel 250"/>
    <w:qFormat/>
    <w:rPr>
      <w:rFonts w:cs="Courier New"/>
    </w:rPr>
  </w:style>
  <w:style w:type="character" w:styleId="ListLabel251">
    <w:name w:val="ListLabel 251"/>
    <w:qFormat/>
    <w:rPr>
      <w:rFonts w:cs="Wingdings"/>
    </w:rPr>
  </w:style>
  <w:style w:type="character" w:styleId="ListLabel252">
    <w:name w:val="ListLabel 252"/>
    <w:qFormat/>
    <w:rPr>
      <w:rFonts w:cs="Symbol"/>
    </w:rPr>
  </w:style>
  <w:style w:type="character" w:styleId="ListLabel253">
    <w:name w:val="ListLabel 253"/>
    <w:qFormat/>
    <w:rPr>
      <w:rFonts w:cs="Courier New"/>
    </w:rPr>
  </w:style>
  <w:style w:type="character" w:styleId="ListLabel254">
    <w:name w:val="ListLabel 254"/>
    <w:qFormat/>
    <w:rPr>
      <w:rFonts w:cs="Wingdings"/>
    </w:rPr>
  </w:style>
  <w:style w:type="character" w:styleId="ListLabel255">
    <w:name w:val="ListLabel 255"/>
    <w:qFormat/>
    <w:rPr>
      <w:rFonts w:ascii="Bookman Old Style" w:hAnsi="Bookman Old Style" w:cs="Courier New"/>
      <w:sz w:val="24"/>
    </w:rPr>
  </w:style>
  <w:style w:type="character" w:styleId="ListLabel256">
    <w:name w:val="ListLabel 256"/>
    <w:qFormat/>
    <w:rPr>
      <w:rFonts w:cs="Courier New"/>
    </w:rPr>
  </w:style>
  <w:style w:type="character" w:styleId="ListLabel257">
    <w:name w:val="ListLabel 257"/>
    <w:qFormat/>
    <w:rPr>
      <w:rFonts w:cs="Wingdings"/>
    </w:rPr>
  </w:style>
  <w:style w:type="character" w:styleId="ListLabel258">
    <w:name w:val="ListLabel 258"/>
    <w:qFormat/>
    <w:rPr>
      <w:rFonts w:cs="Symbol"/>
    </w:rPr>
  </w:style>
  <w:style w:type="character" w:styleId="ListLabel259">
    <w:name w:val="ListLabel 259"/>
    <w:qFormat/>
    <w:rPr>
      <w:rFonts w:cs="Courier New"/>
    </w:rPr>
  </w:style>
  <w:style w:type="character" w:styleId="ListLabel260">
    <w:name w:val="ListLabel 260"/>
    <w:qFormat/>
    <w:rPr>
      <w:rFonts w:cs="Wingdings"/>
    </w:rPr>
  </w:style>
  <w:style w:type="character" w:styleId="ListLabel261">
    <w:name w:val="ListLabel 261"/>
    <w:qFormat/>
    <w:rPr>
      <w:rFonts w:cs="Symbol"/>
    </w:rPr>
  </w:style>
  <w:style w:type="character" w:styleId="ListLabel262">
    <w:name w:val="ListLabel 262"/>
    <w:qFormat/>
    <w:rPr>
      <w:rFonts w:cs="Courier New"/>
    </w:rPr>
  </w:style>
  <w:style w:type="character" w:styleId="ListLabel263">
    <w:name w:val="ListLabel 263"/>
    <w:qFormat/>
    <w:rPr>
      <w:rFonts w:cs="Wingdings"/>
    </w:rPr>
  </w:style>
  <w:style w:type="character" w:styleId="ListLabel264">
    <w:name w:val="ListLabel 264"/>
    <w:qFormat/>
    <w:rPr>
      <w:rFonts w:ascii="Bookman Old Style" w:hAnsi="Bookman Old Style" w:cs="Courier New"/>
      <w:b/>
      <w:sz w:val="24"/>
    </w:rPr>
  </w:style>
  <w:style w:type="character" w:styleId="ListLabel265">
    <w:name w:val="ListLabel 265"/>
    <w:qFormat/>
    <w:rPr>
      <w:rFonts w:cs="Courier New"/>
    </w:rPr>
  </w:style>
  <w:style w:type="character" w:styleId="ListLabel266">
    <w:name w:val="ListLabel 266"/>
    <w:qFormat/>
    <w:rPr>
      <w:rFonts w:cs="Wingdings"/>
    </w:rPr>
  </w:style>
  <w:style w:type="character" w:styleId="ListLabel267">
    <w:name w:val="ListLabel 267"/>
    <w:qFormat/>
    <w:rPr>
      <w:rFonts w:cs="Symbol"/>
    </w:rPr>
  </w:style>
  <w:style w:type="character" w:styleId="ListLabel268">
    <w:name w:val="ListLabel 268"/>
    <w:qFormat/>
    <w:rPr>
      <w:rFonts w:cs="Courier New"/>
    </w:rPr>
  </w:style>
  <w:style w:type="character" w:styleId="ListLabel269">
    <w:name w:val="ListLabel 269"/>
    <w:qFormat/>
    <w:rPr>
      <w:rFonts w:cs="Wingdings"/>
    </w:rPr>
  </w:style>
  <w:style w:type="character" w:styleId="ListLabel270">
    <w:name w:val="ListLabel 270"/>
    <w:qFormat/>
    <w:rPr>
      <w:rFonts w:cs="Symbol"/>
    </w:rPr>
  </w:style>
  <w:style w:type="character" w:styleId="ListLabel271">
    <w:name w:val="ListLabel 271"/>
    <w:qFormat/>
    <w:rPr>
      <w:rFonts w:cs="Courier New"/>
    </w:rPr>
  </w:style>
  <w:style w:type="character" w:styleId="ListLabel272">
    <w:name w:val="ListLabel 272"/>
    <w:qFormat/>
    <w:rPr>
      <w:rFonts w:cs="Wingdings"/>
    </w:rPr>
  </w:style>
  <w:style w:type="character" w:styleId="ListLabel273">
    <w:name w:val="ListLabel 273"/>
    <w:qFormat/>
    <w:rPr>
      <w:rFonts w:ascii="Bookman Old Style" w:hAnsi="Bookman Old Style" w:cs="Courier New"/>
      <w:sz w:val="24"/>
    </w:rPr>
  </w:style>
  <w:style w:type="character" w:styleId="ListLabel274">
    <w:name w:val="ListLabel 274"/>
    <w:qFormat/>
    <w:rPr>
      <w:rFonts w:cs="Courier New"/>
    </w:rPr>
  </w:style>
  <w:style w:type="character" w:styleId="ListLabel275">
    <w:name w:val="ListLabel 275"/>
    <w:qFormat/>
    <w:rPr>
      <w:rFonts w:cs="Wingdings"/>
    </w:rPr>
  </w:style>
  <w:style w:type="character" w:styleId="ListLabel276">
    <w:name w:val="ListLabel 276"/>
    <w:qFormat/>
    <w:rPr>
      <w:rFonts w:cs="Symbol"/>
    </w:rPr>
  </w:style>
  <w:style w:type="character" w:styleId="ListLabel277">
    <w:name w:val="ListLabel 277"/>
    <w:qFormat/>
    <w:rPr>
      <w:rFonts w:cs="Courier New"/>
    </w:rPr>
  </w:style>
  <w:style w:type="character" w:styleId="ListLabel278">
    <w:name w:val="ListLabel 278"/>
    <w:qFormat/>
    <w:rPr>
      <w:rFonts w:cs="Wingdings"/>
    </w:rPr>
  </w:style>
  <w:style w:type="character" w:styleId="ListLabel279">
    <w:name w:val="ListLabel 279"/>
    <w:qFormat/>
    <w:rPr>
      <w:rFonts w:cs="Symbol"/>
    </w:rPr>
  </w:style>
  <w:style w:type="character" w:styleId="ListLabel280">
    <w:name w:val="ListLabel 280"/>
    <w:qFormat/>
    <w:rPr>
      <w:rFonts w:cs="Courier New"/>
    </w:rPr>
  </w:style>
  <w:style w:type="character" w:styleId="ListLabel281">
    <w:name w:val="ListLabel 281"/>
    <w:qFormat/>
    <w:rPr>
      <w:rFonts w:cs="Wingdings"/>
    </w:rPr>
  </w:style>
  <w:style w:type="character" w:styleId="ListLabel282">
    <w:name w:val="ListLabel 282"/>
    <w:qFormat/>
    <w:rPr>
      <w:rFonts w:ascii="Bookman Old Style" w:hAnsi="Bookman Old Style" w:cs="Courier New"/>
      <w:b/>
      <w:sz w:val="24"/>
    </w:rPr>
  </w:style>
  <w:style w:type="character" w:styleId="ListLabel283">
    <w:name w:val="ListLabel 283"/>
    <w:qFormat/>
    <w:rPr>
      <w:rFonts w:cs="Courier New"/>
    </w:rPr>
  </w:style>
  <w:style w:type="character" w:styleId="ListLabel284">
    <w:name w:val="ListLabel 284"/>
    <w:qFormat/>
    <w:rPr>
      <w:rFonts w:cs="Wingdings"/>
    </w:rPr>
  </w:style>
  <w:style w:type="character" w:styleId="ListLabel285">
    <w:name w:val="ListLabel 285"/>
    <w:qFormat/>
    <w:rPr>
      <w:rFonts w:cs="Symbol"/>
    </w:rPr>
  </w:style>
  <w:style w:type="character" w:styleId="ListLabel286">
    <w:name w:val="ListLabel 286"/>
    <w:qFormat/>
    <w:rPr>
      <w:rFonts w:cs="Courier New"/>
    </w:rPr>
  </w:style>
  <w:style w:type="character" w:styleId="ListLabel287">
    <w:name w:val="ListLabel 287"/>
    <w:qFormat/>
    <w:rPr>
      <w:rFonts w:cs="Wingdings"/>
    </w:rPr>
  </w:style>
  <w:style w:type="character" w:styleId="ListLabel288">
    <w:name w:val="ListLabel 288"/>
    <w:qFormat/>
    <w:rPr>
      <w:rFonts w:cs="Symbol"/>
    </w:rPr>
  </w:style>
  <w:style w:type="character" w:styleId="ListLabel289">
    <w:name w:val="ListLabel 289"/>
    <w:qFormat/>
    <w:rPr>
      <w:rFonts w:cs="Courier New"/>
    </w:rPr>
  </w:style>
  <w:style w:type="character" w:styleId="ListLabel290">
    <w:name w:val="ListLabel 290"/>
    <w:qFormat/>
    <w:rPr>
      <w:rFonts w:cs="Wingdings"/>
    </w:rPr>
  </w:style>
  <w:style w:type="character" w:styleId="ListLabel291">
    <w:name w:val="ListLabel 291"/>
    <w:qFormat/>
    <w:rPr>
      <w:rFonts w:ascii="Bookman Old Style" w:hAnsi="Bookman Old Style" w:cs="Courier New"/>
      <w:sz w:val="24"/>
    </w:rPr>
  </w:style>
  <w:style w:type="character" w:styleId="ListLabel292">
    <w:name w:val="ListLabel 292"/>
    <w:qFormat/>
    <w:rPr>
      <w:rFonts w:cs="Courier New"/>
    </w:rPr>
  </w:style>
  <w:style w:type="character" w:styleId="ListLabel293">
    <w:name w:val="ListLabel 293"/>
    <w:qFormat/>
    <w:rPr>
      <w:rFonts w:cs="Wingdings"/>
    </w:rPr>
  </w:style>
  <w:style w:type="character" w:styleId="ListLabel294">
    <w:name w:val="ListLabel 294"/>
    <w:qFormat/>
    <w:rPr>
      <w:rFonts w:cs="Symbol"/>
    </w:rPr>
  </w:style>
  <w:style w:type="character" w:styleId="ListLabel295">
    <w:name w:val="ListLabel 295"/>
    <w:qFormat/>
    <w:rPr>
      <w:rFonts w:cs="Courier New"/>
    </w:rPr>
  </w:style>
  <w:style w:type="character" w:styleId="ListLabel296">
    <w:name w:val="ListLabel 296"/>
    <w:qFormat/>
    <w:rPr>
      <w:rFonts w:cs="Wingdings"/>
    </w:rPr>
  </w:style>
  <w:style w:type="character" w:styleId="ListLabel297">
    <w:name w:val="ListLabel 297"/>
    <w:qFormat/>
    <w:rPr>
      <w:rFonts w:cs="Symbol"/>
    </w:rPr>
  </w:style>
  <w:style w:type="character" w:styleId="ListLabel298">
    <w:name w:val="ListLabel 298"/>
    <w:qFormat/>
    <w:rPr>
      <w:rFonts w:cs="Courier New"/>
    </w:rPr>
  </w:style>
  <w:style w:type="character" w:styleId="ListLabel299">
    <w:name w:val="ListLabel 299"/>
    <w:qFormat/>
    <w:rPr>
      <w:rFonts w:cs="Wingdings"/>
    </w:rPr>
  </w:style>
  <w:style w:type="character" w:styleId="ListLabel300">
    <w:name w:val="ListLabel 300"/>
    <w:qFormat/>
    <w:rPr>
      <w:rFonts w:ascii="Bookman Old Style" w:hAnsi="Bookman Old Style" w:cs="Courier New"/>
      <w:b/>
      <w:sz w:val="24"/>
    </w:rPr>
  </w:style>
  <w:style w:type="character" w:styleId="ListLabel301">
    <w:name w:val="ListLabel 301"/>
    <w:qFormat/>
    <w:rPr>
      <w:rFonts w:cs="Courier New"/>
    </w:rPr>
  </w:style>
  <w:style w:type="character" w:styleId="ListLabel302">
    <w:name w:val="ListLabel 302"/>
    <w:qFormat/>
    <w:rPr>
      <w:rFonts w:cs="Wingdings"/>
    </w:rPr>
  </w:style>
  <w:style w:type="character" w:styleId="ListLabel303">
    <w:name w:val="ListLabel 303"/>
    <w:qFormat/>
    <w:rPr>
      <w:rFonts w:cs="Symbol"/>
    </w:rPr>
  </w:style>
  <w:style w:type="character" w:styleId="ListLabel304">
    <w:name w:val="ListLabel 304"/>
    <w:qFormat/>
    <w:rPr>
      <w:rFonts w:cs="Courier New"/>
    </w:rPr>
  </w:style>
  <w:style w:type="character" w:styleId="ListLabel305">
    <w:name w:val="ListLabel 305"/>
    <w:qFormat/>
    <w:rPr>
      <w:rFonts w:cs="Wingdings"/>
    </w:rPr>
  </w:style>
  <w:style w:type="character" w:styleId="ListLabel306">
    <w:name w:val="ListLabel 306"/>
    <w:qFormat/>
    <w:rPr>
      <w:rFonts w:cs="Symbol"/>
    </w:rPr>
  </w:style>
  <w:style w:type="character" w:styleId="ListLabel307">
    <w:name w:val="ListLabel 307"/>
    <w:qFormat/>
    <w:rPr>
      <w:rFonts w:cs="Courier New"/>
    </w:rPr>
  </w:style>
  <w:style w:type="character" w:styleId="ListLabel308">
    <w:name w:val="ListLabel 308"/>
    <w:qFormat/>
    <w:rPr>
      <w:rFonts w:cs="Wingdings"/>
    </w:rPr>
  </w:style>
  <w:style w:type="character" w:styleId="ListLabel309">
    <w:name w:val="ListLabel 309"/>
    <w:qFormat/>
    <w:rPr>
      <w:rFonts w:ascii="Bookman Old Style" w:hAnsi="Bookman Old Style" w:cs="Courier New"/>
      <w:sz w:val="24"/>
    </w:rPr>
  </w:style>
  <w:style w:type="character" w:styleId="ListLabel310">
    <w:name w:val="ListLabel 310"/>
    <w:qFormat/>
    <w:rPr>
      <w:rFonts w:cs="Courier New"/>
    </w:rPr>
  </w:style>
  <w:style w:type="character" w:styleId="ListLabel311">
    <w:name w:val="ListLabel 311"/>
    <w:qFormat/>
    <w:rPr>
      <w:rFonts w:cs="Wingdings"/>
    </w:rPr>
  </w:style>
  <w:style w:type="character" w:styleId="ListLabel312">
    <w:name w:val="ListLabel 312"/>
    <w:qFormat/>
    <w:rPr>
      <w:rFonts w:cs="Symbol"/>
    </w:rPr>
  </w:style>
  <w:style w:type="character" w:styleId="ListLabel313">
    <w:name w:val="ListLabel 313"/>
    <w:qFormat/>
    <w:rPr>
      <w:rFonts w:cs="Courier New"/>
    </w:rPr>
  </w:style>
  <w:style w:type="character" w:styleId="ListLabel314">
    <w:name w:val="ListLabel 314"/>
    <w:qFormat/>
    <w:rPr>
      <w:rFonts w:cs="Wingdings"/>
    </w:rPr>
  </w:style>
  <w:style w:type="character" w:styleId="ListLabel315">
    <w:name w:val="ListLabel 315"/>
    <w:qFormat/>
    <w:rPr>
      <w:rFonts w:cs="Symbol"/>
    </w:rPr>
  </w:style>
  <w:style w:type="character" w:styleId="ListLabel316">
    <w:name w:val="ListLabel 316"/>
    <w:qFormat/>
    <w:rPr>
      <w:rFonts w:cs="Courier New"/>
    </w:rPr>
  </w:style>
  <w:style w:type="character" w:styleId="ListLabel317">
    <w:name w:val="ListLabel 317"/>
    <w:qFormat/>
    <w:rPr>
      <w:rFonts w:cs="Wingdings"/>
    </w:rPr>
  </w:style>
  <w:style w:type="character" w:styleId="ListLabel318">
    <w:name w:val="ListLabel 318"/>
    <w:qFormat/>
    <w:rPr>
      <w:rFonts w:ascii="Bookman Old Style" w:hAnsi="Bookman Old Style" w:cs="Courier New"/>
      <w:b/>
      <w:sz w:val="24"/>
    </w:rPr>
  </w:style>
  <w:style w:type="character" w:styleId="ListLabel319">
    <w:name w:val="ListLabel 319"/>
    <w:qFormat/>
    <w:rPr>
      <w:rFonts w:cs="Courier New"/>
    </w:rPr>
  </w:style>
  <w:style w:type="character" w:styleId="ListLabel320">
    <w:name w:val="ListLabel 320"/>
    <w:qFormat/>
    <w:rPr>
      <w:rFonts w:cs="Wingdings"/>
    </w:rPr>
  </w:style>
  <w:style w:type="character" w:styleId="ListLabel321">
    <w:name w:val="ListLabel 321"/>
    <w:qFormat/>
    <w:rPr>
      <w:rFonts w:cs="Symbol"/>
    </w:rPr>
  </w:style>
  <w:style w:type="character" w:styleId="ListLabel322">
    <w:name w:val="ListLabel 322"/>
    <w:qFormat/>
    <w:rPr>
      <w:rFonts w:cs="Courier New"/>
    </w:rPr>
  </w:style>
  <w:style w:type="character" w:styleId="ListLabel323">
    <w:name w:val="ListLabel 323"/>
    <w:qFormat/>
    <w:rPr>
      <w:rFonts w:cs="Wingdings"/>
    </w:rPr>
  </w:style>
  <w:style w:type="character" w:styleId="ListLabel324">
    <w:name w:val="ListLabel 324"/>
    <w:qFormat/>
    <w:rPr>
      <w:rFonts w:cs="Symbol"/>
    </w:rPr>
  </w:style>
  <w:style w:type="character" w:styleId="ListLabel325">
    <w:name w:val="ListLabel 325"/>
    <w:qFormat/>
    <w:rPr>
      <w:rFonts w:cs="Courier New"/>
    </w:rPr>
  </w:style>
  <w:style w:type="character" w:styleId="ListLabel326">
    <w:name w:val="ListLabel 326"/>
    <w:qFormat/>
    <w:rPr>
      <w:rFonts w:cs="Wingdings"/>
    </w:rPr>
  </w:style>
  <w:style w:type="character" w:styleId="ListLabel327">
    <w:name w:val="ListLabel 327"/>
    <w:qFormat/>
    <w:rPr>
      <w:rFonts w:ascii="Bookman Old Style" w:hAnsi="Bookman Old Style" w:cs="Courier New"/>
      <w:sz w:val="24"/>
    </w:rPr>
  </w:style>
  <w:style w:type="character" w:styleId="ListLabel328">
    <w:name w:val="ListLabel 328"/>
    <w:qFormat/>
    <w:rPr>
      <w:rFonts w:cs="Courier New"/>
    </w:rPr>
  </w:style>
  <w:style w:type="character" w:styleId="ListLabel329">
    <w:name w:val="ListLabel 329"/>
    <w:qFormat/>
    <w:rPr>
      <w:rFonts w:cs="Wingdings"/>
    </w:rPr>
  </w:style>
  <w:style w:type="character" w:styleId="ListLabel330">
    <w:name w:val="ListLabel 330"/>
    <w:qFormat/>
    <w:rPr>
      <w:rFonts w:cs="Symbol"/>
    </w:rPr>
  </w:style>
  <w:style w:type="character" w:styleId="ListLabel331">
    <w:name w:val="ListLabel 331"/>
    <w:qFormat/>
    <w:rPr>
      <w:rFonts w:cs="Courier New"/>
    </w:rPr>
  </w:style>
  <w:style w:type="character" w:styleId="ListLabel332">
    <w:name w:val="ListLabel 332"/>
    <w:qFormat/>
    <w:rPr>
      <w:rFonts w:cs="Wingdings"/>
    </w:rPr>
  </w:style>
  <w:style w:type="character" w:styleId="ListLabel333">
    <w:name w:val="ListLabel 333"/>
    <w:qFormat/>
    <w:rPr>
      <w:rFonts w:cs="Symbol"/>
    </w:rPr>
  </w:style>
  <w:style w:type="character" w:styleId="ListLabel334">
    <w:name w:val="ListLabel 334"/>
    <w:qFormat/>
    <w:rPr>
      <w:rFonts w:cs="Courier New"/>
    </w:rPr>
  </w:style>
  <w:style w:type="character" w:styleId="ListLabel335">
    <w:name w:val="ListLabel 335"/>
    <w:qFormat/>
    <w:rPr>
      <w:rFonts w:cs="Wingdings"/>
    </w:rPr>
  </w:style>
  <w:style w:type="character" w:styleId="ListLabel336">
    <w:name w:val="ListLabel 336"/>
    <w:qFormat/>
    <w:rPr>
      <w:rFonts w:ascii="Bookman Old Style" w:hAnsi="Bookman Old Style" w:cs="Courier New"/>
      <w:b/>
      <w:sz w:val="24"/>
    </w:rPr>
  </w:style>
  <w:style w:type="character" w:styleId="ListLabel337">
    <w:name w:val="ListLabel 337"/>
    <w:qFormat/>
    <w:rPr>
      <w:rFonts w:cs="Courier New"/>
    </w:rPr>
  </w:style>
  <w:style w:type="character" w:styleId="ListLabel338">
    <w:name w:val="ListLabel 338"/>
    <w:qFormat/>
    <w:rPr>
      <w:rFonts w:cs="Wingdings"/>
    </w:rPr>
  </w:style>
  <w:style w:type="character" w:styleId="ListLabel339">
    <w:name w:val="ListLabel 339"/>
    <w:qFormat/>
    <w:rPr>
      <w:rFonts w:cs="Symbol"/>
    </w:rPr>
  </w:style>
  <w:style w:type="character" w:styleId="ListLabel340">
    <w:name w:val="ListLabel 340"/>
    <w:qFormat/>
    <w:rPr>
      <w:rFonts w:cs="Courier New"/>
    </w:rPr>
  </w:style>
  <w:style w:type="character" w:styleId="ListLabel341">
    <w:name w:val="ListLabel 341"/>
    <w:qFormat/>
    <w:rPr>
      <w:rFonts w:cs="Wingdings"/>
    </w:rPr>
  </w:style>
  <w:style w:type="character" w:styleId="ListLabel342">
    <w:name w:val="ListLabel 342"/>
    <w:qFormat/>
    <w:rPr>
      <w:rFonts w:cs="Symbol"/>
    </w:rPr>
  </w:style>
  <w:style w:type="character" w:styleId="ListLabel343">
    <w:name w:val="ListLabel 343"/>
    <w:qFormat/>
    <w:rPr>
      <w:rFonts w:cs="Courier New"/>
    </w:rPr>
  </w:style>
  <w:style w:type="character" w:styleId="ListLabel344">
    <w:name w:val="ListLabel 344"/>
    <w:qFormat/>
    <w:rPr>
      <w:rFonts w:cs="Wingdings"/>
    </w:rPr>
  </w:style>
  <w:style w:type="character" w:styleId="ListLabel345">
    <w:name w:val="ListLabel 345"/>
    <w:qFormat/>
    <w:rPr>
      <w:rFonts w:ascii="Bookman Old Style" w:hAnsi="Bookman Old Style" w:cs="Courier New"/>
      <w:sz w:val="24"/>
    </w:rPr>
  </w:style>
  <w:style w:type="character" w:styleId="ListLabel346">
    <w:name w:val="ListLabel 346"/>
    <w:qFormat/>
    <w:rPr>
      <w:rFonts w:cs="Courier New"/>
    </w:rPr>
  </w:style>
  <w:style w:type="character" w:styleId="ListLabel347">
    <w:name w:val="ListLabel 347"/>
    <w:qFormat/>
    <w:rPr>
      <w:rFonts w:cs="Wingdings"/>
    </w:rPr>
  </w:style>
  <w:style w:type="character" w:styleId="ListLabel348">
    <w:name w:val="ListLabel 348"/>
    <w:qFormat/>
    <w:rPr>
      <w:rFonts w:cs="Symbol"/>
    </w:rPr>
  </w:style>
  <w:style w:type="character" w:styleId="ListLabel349">
    <w:name w:val="ListLabel 349"/>
    <w:qFormat/>
    <w:rPr>
      <w:rFonts w:cs="Courier New"/>
    </w:rPr>
  </w:style>
  <w:style w:type="character" w:styleId="ListLabel350">
    <w:name w:val="ListLabel 350"/>
    <w:qFormat/>
    <w:rPr>
      <w:rFonts w:cs="Wingdings"/>
    </w:rPr>
  </w:style>
  <w:style w:type="character" w:styleId="ListLabel351">
    <w:name w:val="ListLabel 351"/>
    <w:qFormat/>
    <w:rPr>
      <w:rFonts w:cs="Symbol"/>
    </w:rPr>
  </w:style>
  <w:style w:type="character" w:styleId="ListLabel352">
    <w:name w:val="ListLabel 352"/>
    <w:qFormat/>
    <w:rPr>
      <w:rFonts w:cs="Courier New"/>
    </w:rPr>
  </w:style>
  <w:style w:type="character" w:styleId="ListLabel353">
    <w:name w:val="ListLabel 353"/>
    <w:qFormat/>
    <w:rPr>
      <w:rFonts w:cs="Wingdings"/>
    </w:rPr>
  </w:style>
  <w:style w:type="character" w:styleId="ListLabel354">
    <w:name w:val="ListLabel 354"/>
    <w:qFormat/>
    <w:rPr>
      <w:rFonts w:ascii="Bookman Old Style" w:hAnsi="Bookman Old Style" w:cs="Courier New"/>
      <w:b/>
      <w:sz w:val="24"/>
    </w:rPr>
  </w:style>
  <w:style w:type="character" w:styleId="ListLabel355">
    <w:name w:val="ListLabel 355"/>
    <w:qFormat/>
    <w:rPr>
      <w:rFonts w:cs="Courier New"/>
    </w:rPr>
  </w:style>
  <w:style w:type="character" w:styleId="ListLabel356">
    <w:name w:val="ListLabel 356"/>
    <w:qFormat/>
    <w:rPr>
      <w:rFonts w:cs="Wingdings"/>
    </w:rPr>
  </w:style>
  <w:style w:type="character" w:styleId="ListLabel357">
    <w:name w:val="ListLabel 357"/>
    <w:qFormat/>
    <w:rPr>
      <w:rFonts w:cs="Symbol"/>
    </w:rPr>
  </w:style>
  <w:style w:type="character" w:styleId="ListLabel358">
    <w:name w:val="ListLabel 358"/>
    <w:qFormat/>
    <w:rPr>
      <w:rFonts w:cs="Courier New"/>
    </w:rPr>
  </w:style>
  <w:style w:type="character" w:styleId="ListLabel359">
    <w:name w:val="ListLabel 359"/>
    <w:qFormat/>
    <w:rPr>
      <w:rFonts w:cs="Wingdings"/>
    </w:rPr>
  </w:style>
  <w:style w:type="character" w:styleId="ListLabel360">
    <w:name w:val="ListLabel 360"/>
    <w:qFormat/>
    <w:rPr>
      <w:rFonts w:cs="Symbol"/>
    </w:rPr>
  </w:style>
  <w:style w:type="character" w:styleId="ListLabel361">
    <w:name w:val="ListLabel 361"/>
    <w:qFormat/>
    <w:rPr>
      <w:rFonts w:cs="Courier New"/>
    </w:rPr>
  </w:style>
  <w:style w:type="character" w:styleId="ListLabel362">
    <w:name w:val="ListLabel 362"/>
    <w:qFormat/>
    <w:rPr>
      <w:rFonts w:cs="Wingdings"/>
    </w:rPr>
  </w:style>
  <w:style w:type="character" w:styleId="ListLabel363">
    <w:name w:val="ListLabel 363"/>
    <w:qFormat/>
    <w:rPr>
      <w:rFonts w:ascii="Bookman Old Style" w:hAnsi="Bookman Old Style" w:cs="Courier New"/>
      <w:sz w:val="24"/>
    </w:rPr>
  </w:style>
  <w:style w:type="character" w:styleId="ListLabel364">
    <w:name w:val="ListLabel 364"/>
    <w:qFormat/>
    <w:rPr>
      <w:rFonts w:cs="Courier New"/>
    </w:rPr>
  </w:style>
  <w:style w:type="character" w:styleId="ListLabel365">
    <w:name w:val="ListLabel 365"/>
    <w:qFormat/>
    <w:rPr>
      <w:rFonts w:cs="Wingdings"/>
    </w:rPr>
  </w:style>
  <w:style w:type="character" w:styleId="ListLabel366">
    <w:name w:val="ListLabel 366"/>
    <w:qFormat/>
    <w:rPr>
      <w:rFonts w:cs="Symbol"/>
    </w:rPr>
  </w:style>
  <w:style w:type="character" w:styleId="ListLabel367">
    <w:name w:val="ListLabel 367"/>
    <w:qFormat/>
    <w:rPr>
      <w:rFonts w:cs="Courier New"/>
    </w:rPr>
  </w:style>
  <w:style w:type="character" w:styleId="ListLabel368">
    <w:name w:val="ListLabel 368"/>
    <w:qFormat/>
    <w:rPr>
      <w:rFonts w:cs="Wingdings"/>
    </w:rPr>
  </w:style>
  <w:style w:type="character" w:styleId="ListLabel369">
    <w:name w:val="ListLabel 369"/>
    <w:qFormat/>
    <w:rPr>
      <w:rFonts w:cs="Symbol"/>
    </w:rPr>
  </w:style>
  <w:style w:type="character" w:styleId="ListLabel370">
    <w:name w:val="ListLabel 370"/>
    <w:qFormat/>
    <w:rPr>
      <w:rFonts w:cs="Courier New"/>
    </w:rPr>
  </w:style>
  <w:style w:type="character" w:styleId="ListLabel371">
    <w:name w:val="ListLabel 371"/>
    <w:qFormat/>
    <w:rPr>
      <w:rFonts w:cs="Wingdings"/>
    </w:rPr>
  </w:style>
  <w:style w:type="character" w:styleId="ListLabel372">
    <w:name w:val="ListLabel 372"/>
    <w:qFormat/>
    <w:rPr>
      <w:rFonts w:ascii="Bookman Old Style" w:hAnsi="Bookman Old Style" w:cs="Courier New"/>
      <w:b/>
      <w:sz w:val="24"/>
    </w:rPr>
  </w:style>
  <w:style w:type="character" w:styleId="ListLabel373">
    <w:name w:val="ListLabel 373"/>
    <w:qFormat/>
    <w:rPr>
      <w:rFonts w:cs="Courier New"/>
    </w:rPr>
  </w:style>
  <w:style w:type="character" w:styleId="ListLabel374">
    <w:name w:val="ListLabel 374"/>
    <w:qFormat/>
    <w:rPr>
      <w:rFonts w:cs="Wingdings"/>
    </w:rPr>
  </w:style>
  <w:style w:type="character" w:styleId="ListLabel375">
    <w:name w:val="ListLabel 375"/>
    <w:qFormat/>
    <w:rPr>
      <w:rFonts w:cs="Symbol"/>
    </w:rPr>
  </w:style>
  <w:style w:type="character" w:styleId="ListLabel376">
    <w:name w:val="ListLabel 376"/>
    <w:qFormat/>
    <w:rPr>
      <w:rFonts w:cs="Courier New"/>
    </w:rPr>
  </w:style>
  <w:style w:type="character" w:styleId="ListLabel377">
    <w:name w:val="ListLabel 377"/>
    <w:qFormat/>
    <w:rPr>
      <w:rFonts w:cs="Wingdings"/>
    </w:rPr>
  </w:style>
  <w:style w:type="character" w:styleId="ListLabel378">
    <w:name w:val="ListLabel 378"/>
    <w:qFormat/>
    <w:rPr>
      <w:rFonts w:cs="Symbol"/>
    </w:rPr>
  </w:style>
  <w:style w:type="character" w:styleId="ListLabel379">
    <w:name w:val="ListLabel 379"/>
    <w:qFormat/>
    <w:rPr>
      <w:rFonts w:cs="Courier New"/>
    </w:rPr>
  </w:style>
  <w:style w:type="character" w:styleId="ListLabel380">
    <w:name w:val="ListLabel 380"/>
    <w:qFormat/>
    <w:rPr>
      <w:rFonts w:cs="Wingdings"/>
    </w:rPr>
  </w:style>
  <w:style w:type="character" w:styleId="ListLabel381">
    <w:name w:val="ListLabel 381"/>
    <w:qFormat/>
    <w:rPr>
      <w:rFonts w:ascii="Bookman Old Style" w:hAnsi="Bookman Old Style" w:cs="Courier New"/>
      <w:sz w:val="24"/>
    </w:rPr>
  </w:style>
  <w:style w:type="character" w:styleId="ListLabel382">
    <w:name w:val="ListLabel 382"/>
    <w:qFormat/>
    <w:rPr>
      <w:rFonts w:cs="Courier New"/>
    </w:rPr>
  </w:style>
  <w:style w:type="character" w:styleId="ListLabel383">
    <w:name w:val="ListLabel 383"/>
    <w:qFormat/>
    <w:rPr>
      <w:rFonts w:cs="Wingdings"/>
    </w:rPr>
  </w:style>
  <w:style w:type="character" w:styleId="ListLabel384">
    <w:name w:val="ListLabel 384"/>
    <w:qFormat/>
    <w:rPr>
      <w:rFonts w:cs="Symbol"/>
    </w:rPr>
  </w:style>
  <w:style w:type="character" w:styleId="ListLabel385">
    <w:name w:val="ListLabel 385"/>
    <w:qFormat/>
    <w:rPr>
      <w:rFonts w:cs="Courier New"/>
    </w:rPr>
  </w:style>
  <w:style w:type="character" w:styleId="ListLabel386">
    <w:name w:val="ListLabel 386"/>
    <w:qFormat/>
    <w:rPr>
      <w:rFonts w:cs="Wingdings"/>
    </w:rPr>
  </w:style>
  <w:style w:type="character" w:styleId="ListLabel387">
    <w:name w:val="ListLabel 387"/>
    <w:qFormat/>
    <w:rPr>
      <w:rFonts w:cs="Symbol"/>
    </w:rPr>
  </w:style>
  <w:style w:type="character" w:styleId="ListLabel388">
    <w:name w:val="ListLabel 388"/>
    <w:qFormat/>
    <w:rPr>
      <w:rFonts w:cs="Courier New"/>
    </w:rPr>
  </w:style>
  <w:style w:type="character" w:styleId="ListLabel389">
    <w:name w:val="ListLabel 389"/>
    <w:qFormat/>
    <w:rPr>
      <w:rFonts w:cs="Wingdings"/>
    </w:rPr>
  </w:style>
  <w:style w:type="character" w:styleId="ListLabel390">
    <w:name w:val="ListLabel 390"/>
    <w:qFormat/>
    <w:rPr>
      <w:rFonts w:ascii="Bookman Old Style" w:hAnsi="Bookman Old Style" w:cs="Courier New"/>
      <w:b/>
      <w:sz w:val="24"/>
    </w:rPr>
  </w:style>
  <w:style w:type="character" w:styleId="ListLabel391">
    <w:name w:val="ListLabel 391"/>
    <w:qFormat/>
    <w:rPr>
      <w:rFonts w:cs="Courier New"/>
    </w:rPr>
  </w:style>
  <w:style w:type="character" w:styleId="ListLabel392">
    <w:name w:val="ListLabel 392"/>
    <w:qFormat/>
    <w:rPr>
      <w:rFonts w:cs="Wingdings"/>
    </w:rPr>
  </w:style>
  <w:style w:type="character" w:styleId="ListLabel393">
    <w:name w:val="ListLabel 393"/>
    <w:qFormat/>
    <w:rPr>
      <w:rFonts w:cs="Symbol"/>
    </w:rPr>
  </w:style>
  <w:style w:type="character" w:styleId="ListLabel394">
    <w:name w:val="ListLabel 394"/>
    <w:qFormat/>
    <w:rPr>
      <w:rFonts w:cs="Courier New"/>
    </w:rPr>
  </w:style>
  <w:style w:type="character" w:styleId="ListLabel395">
    <w:name w:val="ListLabel 395"/>
    <w:qFormat/>
    <w:rPr>
      <w:rFonts w:cs="Wingdings"/>
    </w:rPr>
  </w:style>
  <w:style w:type="character" w:styleId="ListLabel396">
    <w:name w:val="ListLabel 396"/>
    <w:qFormat/>
    <w:rPr>
      <w:rFonts w:cs="Symbol"/>
    </w:rPr>
  </w:style>
  <w:style w:type="character" w:styleId="ListLabel397">
    <w:name w:val="ListLabel 397"/>
    <w:qFormat/>
    <w:rPr>
      <w:rFonts w:cs="Courier New"/>
    </w:rPr>
  </w:style>
  <w:style w:type="character" w:styleId="ListLabel398">
    <w:name w:val="ListLabel 398"/>
    <w:qFormat/>
    <w:rPr>
      <w:rFonts w:cs="Wingdings"/>
    </w:rPr>
  </w:style>
  <w:style w:type="character" w:styleId="ListLabel399">
    <w:name w:val="ListLabel 399"/>
    <w:qFormat/>
    <w:rPr>
      <w:rFonts w:ascii="Bookman Old Style" w:hAnsi="Bookman Old Style" w:cs="Courier New"/>
      <w:sz w:val="24"/>
    </w:rPr>
  </w:style>
  <w:style w:type="character" w:styleId="ListLabel400">
    <w:name w:val="ListLabel 400"/>
    <w:qFormat/>
    <w:rPr>
      <w:rFonts w:cs="Courier New"/>
    </w:rPr>
  </w:style>
  <w:style w:type="character" w:styleId="ListLabel401">
    <w:name w:val="ListLabel 401"/>
    <w:qFormat/>
    <w:rPr>
      <w:rFonts w:cs="Wingdings"/>
    </w:rPr>
  </w:style>
  <w:style w:type="character" w:styleId="ListLabel402">
    <w:name w:val="ListLabel 402"/>
    <w:qFormat/>
    <w:rPr>
      <w:rFonts w:cs="Symbol"/>
    </w:rPr>
  </w:style>
  <w:style w:type="character" w:styleId="ListLabel403">
    <w:name w:val="ListLabel 403"/>
    <w:qFormat/>
    <w:rPr>
      <w:rFonts w:cs="Courier New"/>
    </w:rPr>
  </w:style>
  <w:style w:type="character" w:styleId="ListLabel404">
    <w:name w:val="ListLabel 404"/>
    <w:qFormat/>
    <w:rPr>
      <w:rFonts w:cs="Wingdings"/>
    </w:rPr>
  </w:style>
  <w:style w:type="character" w:styleId="ListLabel405">
    <w:name w:val="ListLabel 405"/>
    <w:qFormat/>
    <w:rPr>
      <w:rFonts w:cs="Symbol"/>
    </w:rPr>
  </w:style>
  <w:style w:type="character" w:styleId="ListLabel406">
    <w:name w:val="ListLabel 406"/>
    <w:qFormat/>
    <w:rPr>
      <w:rFonts w:cs="Courier New"/>
    </w:rPr>
  </w:style>
  <w:style w:type="character" w:styleId="ListLabel407">
    <w:name w:val="ListLabel 407"/>
    <w:qFormat/>
    <w:rPr>
      <w:rFonts w:cs="Wingdings"/>
    </w:rPr>
  </w:style>
  <w:style w:type="character" w:styleId="ListLabel408">
    <w:name w:val="ListLabel 408"/>
    <w:qFormat/>
    <w:rPr>
      <w:rFonts w:ascii="Bookman Old Style" w:hAnsi="Bookman Old Style" w:cs="Courier New"/>
      <w:b/>
      <w:sz w:val="24"/>
    </w:rPr>
  </w:style>
  <w:style w:type="character" w:styleId="ListLabel409">
    <w:name w:val="ListLabel 409"/>
    <w:qFormat/>
    <w:rPr>
      <w:rFonts w:cs="Courier New"/>
    </w:rPr>
  </w:style>
  <w:style w:type="character" w:styleId="ListLabel410">
    <w:name w:val="ListLabel 410"/>
    <w:qFormat/>
    <w:rPr>
      <w:rFonts w:cs="Wingdings"/>
    </w:rPr>
  </w:style>
  <w:style w:type="character" w:styleId="ListLabel411">
    <w:name w:val="ListLabel 411"/>
    <w:qFormat/>
    <w:rPr>
      <w:rFonts w:cs="Symbol"/>
    </w:rPr>
  </w:style>
  <w:style w:type="character" w:styleId="ListLabel412">
    <w:name w:val="ListLabel 412"/>
    <w:qFormat/>
    <w:rPr>
      <w:rFonts w:cs="Courier New"/>
    </w:rPr>
  </w:style>
  <w:style w:type="character" w:styleId="ListLabel413">
    <w:name w:val="ListLabel 413"/>
    <w:qFormat/>
    <w:rPr>
      <w:rFonts w:cs="Wingdings"/>
    </w:rPr>
  </w:style>
  <w:style w:type="character" w:styleId="ListLabel414">
    <w:name w:val="ListLabel 414"/>
    <w:qFormat/>
    <w:rPr>
      <w:rFonts w:cs="Symbol"/>
    </w:rPr>
  </w:style>
  <w:style w:type="character" w:styleId="ListLabel415">
    <w:name w:val="ListLabel 415"/>
    <w:qFormat/>
    <w:rPr>
      <w:rFonts w:cs="Courier New"/>
    </w:rPr>
  </w:style>
  <w:style w:type="character" w:styleId="ListLabel416">
    <w:name w:val="ListLabel 416"/>
    <w:qFormat/>
    <w:rPr>
      <w:rFonts w:cs="Wingdings"/>
    </w:rPr>
  </w:style>
  <w:style w:type="character" w:styleId="ListLabel417">
    <w:name w:val="ListLabel 417"/>
    <w:qFormat/>
    <w:rPr>
      <w:rFonts w:ascii="Bookman Old Style" w:hAnsi="Bookman Old Style" w:cs="Courier New"/>
      <w:sz w:val="24"/>
    </w:rPr>
  </w:style>
  <w:style w:type="character" w:styleId="ListLabel418">
    <w:name w:val="ListLabel 418"/>
    <w:qFormat/>
    <w:rPr>
      <w:rFonts w:cs="Courier New"/>
    </w:rPr>
  </w:style>
  <w:style w:type="character" w:styleId="ListLabel419">
    <w:name w:val="ListLabel 419"/>
    <w:qFormat/>
    <w:rPr>
      <w:rFonts w:cs="Wingdings"/>
    </w:rPr>
  </w:style>
  <w:style w:type="character" w:styleId="ListLabel420">
    <w:name w:val="ListLabel 420"/>
    <w:qFormat/>
    <w:rPr>
      <w:rFonts w:cs="Symbol"/>
    </w:rPr>
  </w:style>
  <w:style w:type="character" w:styleId="ListLabel421">
    <w:name w:val="ListLabel 421"/>
    <w:qFormat/>
    <w:rPr>
      <w:rFonts w:cs="Courier New"/>
    </w:rPr>
  </w:style>
  <w:style w:type="character" w:styleId="ListLabel422">
    <w:name w:val="ListLabel 422"/>
    <w:qFormat/>
    <w:rPr>
      <w:rFonts w:cs="Wingdings"/>
    </w:rPr>
  </w:style>
  <w:style w:type="character" w:styleId="ListLabel423">
    <w:name w:val="ListLabel 423"/>
    <w:qFormat/>
    <w:rPr>
      <w:rFonts w:cs="Symbol"/>
    </w:rPr>
  </w:style>
  <w:style w:type="character" w:styleId="ListLabel424">
    <w:name w:val="ListLabel 424"/>
    <w:qFormat/>
    <w:rPr>
      <w:rFonts w:cs="Courier New"/>
    </w:rPr>
  </w:style>
  <w:style w:type="character" w:styleId="ListLabel425">
    <w:name w:val="ListLabel 425"/>
    <w:qFormat/>
    <w:rPr>
      <w:rFonts w:cs="Wingdings"/>
    </w:rPr>
  </w:style>
  <w:style w:type="character" w:styleId="ListLabel426">
    <w:name w:val="ListLabel 426"/>
    <w:qFormat/>
    <w:rPr>
      <w:rFonts w:ascii="Bookman Old Style" w:hAnsi="Bookman Old Style" w:cs="Courier New"/>
      <w:b/>
      <w:sz w:val="24"/>
    </w:rPr>
  </w:style>
  <w:style w:type="character" w:styleId="ListLabel427">
    <w:name w:val="ListLabel 427"/>
    <w:qFormat/>
    <w:rPr>
      <w:rFonts w:cs="Courier New"/>
    </w:rPr>
  </w:style>
  <w:style w:type="character" w:styleId="ListLabel428">
    <w:name w:val="ListLabel 428"/>
    <w:qFormat/>
    <w:rPr>
      <w:rFonts w:cs="Wingdings"/>
    </w:rPr>
  </w:style>
  <w:style w:type="character" w:styleId="ListLabel429">
    <w:name w:val="ListLabel 429"/>
    <w:qFormat/>
    <w:rPr>
      <w:rFonts w:cs="Symbol"/>
    </w:rPr>
  </w:style>
  <w:style w:type="character" w:styleId="ListLabel430">
    <w:name w:val="ListLabel 430"/>
    <w:qFormat/>
    <w:rPr>
      <w:rFonts w:cs="Courier New"/>
    </w:rPr>
  </w:style>
  <w:style w:type="character" w:styleId="ListLabel431">
    <w:name w:val="ListLabel 431"/>
    <w:qFormat/>
    <w:rPr>
      <w:rFonts w:cs="Wingdings"/>
    </w:rPr>
  </w:style>
  <w:style w:type="character" w:styleId="ListLabel432">
    <w:name w:val="ListLabel 432"/>
    <w:qFormat/>
    <w:rPr>
      <w:rFonts w:cs="Symbol"/>
    </w:rPr>
  </w:style>
  <w:style w:type="character" w:styleId="ListLabel433">
    <w:name w:val="ListLabel 433"/>
    <w:qFormat/>
    <w:rPr>
      <w:rFonts w:cs="Courier New"/>
    </w:rPr>
  </w:style>
  <w:style w:type="character" w:styleId="ListLabel434">
    <w:name w:val="ListLabel 434"/>
    <w:qFormat/>
    <w:rPr>
      <w:rFonts w:cs="Wingdings"/>
    </w:rPr>
  </w:style>
  <w:style w:type="character" w:styleId="ListLabel435">
    <w:name w:val="ListLabel 435"/>
    <w:qFormat/>
    <w:rPr>
      <w:rFonts w:ascii="Bookman Old Style" w:hAnsi="Bookman Old Style" w:cs="Courier New"/>
      <w:sz w:val="24"/>
    </w:rPr>
  </w:style>
  <w:style w:type="character" w:styleId="ListLabel436">
    <w:name w:val="ListLabel 436"/>
    <w:qFormat/>
    <w:rPr>
      <w:rFonts w:cs="Courier New"/>
    </w:rPr>
  </w:style>
  <w:style w:type="character" w:styleId="ListLabel437">
    <w:name w:val="ListLabel 437"/>
    <w:qFormat/>
    <w:rPr>
      <w:rFonts w:cs="Wingdings"/>
    </w:rPr>
  </w:style>
  <w:style w:type="character" w:styleId="ListLabel438">
    <w:name w:val="ListLabel 438"/>
    <w:qFormat/>
    <w:rPr>
      <w:rFonts w:cs="Symbol"/>
    </w:rPr>
  </w:style>
  <w:style w:type="character" w:styleId="ListLabel439">
    <w:name w:val="ListLabel 439"/>
    <w:qFormat/>
    <w:rPr>
      <w:rFonts w:cs="Courier New"/>
    </w:rPr>
  </w:style>
  <w:style w:type="character" w:styleId="ListLabel440">
    <w:name w:val="ListLabel 440"/>
    <w:qFormat/>
    <w:rPr>
      <w:rFonts w:cs="Wingdings"/>
    </w:rPr>
  </w:style>
  <w:style w:type="character" w:styleId="ListLabel441">
    <w:name w:val="ListLabel 441"/>
    <w:qFormat/>
    <w:rPr>
      <w:rFonts w:cs="Symbol"/>
    </w:rPr>
  </w:style>
  <w:style w:type="character" w:styleId="ListLabel442">
    <w:name w:val="ListLabel 442"/>
    <w:qFormat/>
    <w:rPr>
      <w:rFonts w:cs="Courier New"/>
    </w:rPr>
  </w:style>
  <w:style w:type="character" w:styleId="ListLabel443">
    <w:name w:val="ListLabel 443"/>
    <w:qFormat/>
    <w:rPr>
      <w:rFonts w:cs="Wingdings"/>
    </w:rPr>
  </w:style>
  <w:style w:type="character" w:styleId="ListLabel444">
    <w:name w:val="ListLabel 444"/>
    <w:qFormat/>
    <w:rPr>
      <w:rFonts w:ascii="Bookman Old Style" w:hAnsi="Bookman Old Style" w:cs="Courier New"/>
      <w:b/>
      <w:sz w:val="24"/>
    </w:rPr>
  </w:style>
  <w:style w:type="character" w:styleId="ListLabel445">
    <w:name w:val="ListLabel 445"/>
    <w:qFormat/>
    <w:rPr>
      <w:rFonts w:cs="Courier New"/>
    </w:rPr>
  </w:style>
  <w:style w:type="character" w:styleId="ListLabel446">
    <w:name w:val="ListLabel 446"/>
    <w:qFormat/>
    <w:rPr>
      <w:rFonts w:cs="Wingdings"/>
    </w:rPr>
  </w:style>
  <w:style w:type="character" w:styleId="ListLabel447">
    <w:name w:val="ListLabel 447"/>
    <w:qFormat/>
    <w:rPr>
      <w:rFonts w:cs="Symbol"/>
    </w:rPr>
  </w:style>
  <w:style w:type="character" w:styleId="ListLabel448">
    <w:name w:val="ListLabel 448"/>
    <w:qFormat/>
    <w:rPr>
      <w:rFonts w:cs="Courier New"/>
    </w:rPr>
  </w:style>
  <w:style w:type="character" w:styleId="ListLabel449">
    <w:name w:val="ListLabel 449"/>
    <w:qFormat/>
    <w:rPr>
      <w:rFonts w:cs="Wingdings"/>
    </w:rPr>
  </w:style>
  <w:style w:type="character" w:styleId="ListLabel450">
    <w:name w:val="ListLabel 450"/>
    <w:qFormat/>
    <w:rPr>
      <w:rFonts w:cs="Symbol"/>
    </w:rPr>
  </w:style>
  <w:style w:type="character" w:styleId="ListLabel451">
    <w:name w:val="ListLabel 451"/>
    <w:qFormat/>
    <w:rPr>
      <w:rFonts w:cs="Courier New"/>
    </w:rPr>
  </w:style>
  <w:style w:type="character" w:styleId="ListLabel452">
    <w:name w:val="ListLabel 452"/>
    <w:qFormat/>
    <w:rPr>
      <w:rFonts w:cs="Wingdings"/>
    </w:rPr>
  </w:style>
  <w:style w:type="character" w:styleId="ListLabel453">
    <w:name w:val="ListLabel 453"/>
    <w:qFormat/>
    <w:rPr>
      <w:rFonts w:ascii="Bookman Old Style" w:hAnsi="Bookman Old Style" w:cs="Courier New"/>
      <w:sz w:val="24"/>
    </w:rPr>
  </w:style>
  <w:style w:type="character" w:styleId="ListLabel454">
    <w:name w:val="ListLabel 454"/>
    <w:qFormat/>
    <w:rPr>
      <w:rFonts w:cs="Courier New"/>
    </w:rPr>
  </w:style>
  <w:style w:type="character" w:styleId="ListLabel455">
    <w:name w:val="ListLabel 455"/>
    <w:qFormat/>
    <w:rPr>
      <w:rFonts w:cs="Wingdings"/>
    </w:rPr>
  </w:style>
  <w:style w:type="character" w:styleId="ListLabel456">
    <w:name w:val="ListLabel 456"/>
    <w:qFormat/>
    <w:rPr>
      <w:rFonts w:cs="Symbol"/>
    </w:rPr>
  </w:style>
  <w:style w:type="character" w:styleId="ListLabel457">
    <w:name w:val="ListLabel 457"/>
    <w:qFormat/>
    <w:rPr>
      <w:rFonts w:cs="Courier New"/>
    </w:rPr>
  </w:style>
  <w:style w:type="character" w:styleId="ListLabel458">
    <w:name w:val="ListLabel 458"/>
    <w:qFormat/>
    <w:rPr>
      <w:rFonts w:cs="Wingdings"/>
    </w:rPr>
  </w:style>
  <w:style w:type="character" w:styleId="ListLabel459">
    <w:name w:val="ListLabel 459"/>
    <w:qFormat/>
    <w:rPr>
      <w:rFonts w:cs="Symbol"/>
    </w:rPr>
  </w:style>
  <w:style w:type="character" w:styleId="ListLabel460">
    <w:name w:val="ListLabel 460"/>
    <w:qFormat/>
    <w:rPr>
      <w:rFonts w:cs="Courier New"/>
    </w:rPr>
  </w:style>
  <w:style w:type="character" w:styleId="ListLabel461">
    <w:name w:val="ListLabel 461"/>
    <w:qFormat/>
    <w:rPr>
      <w:rFonts w:cs="Wingdings"/>
    </w:rPr>
  </w:style>
  <w:style w:type="character" w:styleId="ListLabel462">
    <w:name w:val="ListLabel 462"/>
    <w:qFormat/>
    <w:rPr>
      <w:rFonts w:ascii="Bookman Old Style" w:hAnsi="Bookman Old Style" w:cs="Courier New"/>
      <w:b/>
      <w:sz w:val="24"/>
    </w:rPr>
  </w:style>
  <w:style w:type="character" w:styleId="ListLabel463">
    <w:name w:val="ListLabel 463"/>
    <w:qFormat/>
    <w:rPr>
      <w:rFonts w:cs="Courier New"/>
    </w:rPr>
  </w:style>
  <w:style w:type="character" w:styleId="ListLabel464">
    <w:name w:val="ListLabel 464"/>
    <w:qFormat/>
    <w:rPr>
      <w:rFonts w:cs="Wingdings"/>
    </w:rPr>
  </w:style>
  <w:style w:type="character" w:styleId="ListLabel465">
    <w:name w:val="ListLabel 465"/>
    <w:qFormat/>
    <w:rPr>
      <w:rFonts w:cs="Symbol"/>
    </w:rPr>
  </w:style>
  <w:style w:type="character" w:styleId="ListLabel466">
    <w:name w:val="ListLabel 466"/>
    <w:qFormat/>
    <w:rPr>
      <w:rFonts w:cs="Courier New"/>
    </w:rPr>
  </w:style>
  <w:style w:type="character" w:styleId="ListLabel467">
    <w:name w:val="ListLabel 467"/>
    <w:qFormat/>
    <w:rPr>
      <w:rFonts w:cs="Wingdings"/>
    </w:rPr>
  </w:style>
  <w:style w:type="character" w:styleId="ListLabel468">
    <w:name w:val="ListLabel 468"/>
    <w:qFormat/>
    <w:rPr>
      <w:rFonts w:cs="Symbol"/>
    </w:rPr>
  </w:style>
  <w:style w:type="character" w:styleId="ListLabel469">
    <w:name w:val="ListLabel 469"/>
    <w:qFormat/>
    <w:rPr>
      <w:rFonts w:cs="Courier New"/>
    </w:rPr>
  </w:style>
  <w:style w:type="character" w:styleId="ListLabel470">
    <w:name w:val="ListLabel 470"/>
    <w:qFormat/>
    <w:rPr>
      <w:rFonts w:cs="Wingdings"/>
    </w:rPr>
  </w:style>
  <w:style w:type="character" w:styleId="ListLabel471">
    <w:name w:val="ListLabel 471"/>
    <w:qFormat/>
    <w:rPr>
      <w:rFonts w:ascii="Bookman Old Style" w:hAnsi="Bookman Old Style" w:cs="Courier New"/>
      <w:sz w:val="24"/>
    </w:rPr>
  </w:style>
  <w:style w:type="character" w:styleId="ListLabel472">
    <w:name w:val="ListLabel 472"/>
    <w:qFormat/>
    <w:rPr>
      <w:rFonts w:cs="Courier New"/>
    </w:rPr>
  </w:style>
  <w:style w:type="character" w:styleId="ListLabel473">
    <w:name w:val="ListLabel 473"/>
    <w:qFormat/>
    <w:rPr>
      <w:rFonts w:cs="Wingdings"/>
    </w:rPr>
  </w:style>
  <w:style w:type="character" w:styleId="ListLabel474">
    <w:name w:val="ListLabel 474"/>
    <w:qFormat/>
    <w:rPr>
      <w:rFonts w:cs="Symbol"/>
    </w:rPr>
  </w:style>
  <w:style w:type="character" w:styleId="ListLabel475">
    <w:name w:val="ListLabel 475"/>
    <w:qFormat/>
    <w:rPr>
      <w:rFonts w:cs="Courier New"/>
    </w:rPr>
  </w:style>
  <w:style w:type="character" w:styleId="ListLabel476">
    <w:name w:val="ListLabel 476"/>
    <w:qFormat/>
    <w:rPr>
      <w:rFonts w:cs="Wingdings"/>
    </w:rPr>
  </w:style>
  <w:style w:type="character" w:styleId="ListLabel477">
    <w:name w:val="ListLabel 477"/>
    <w:qFormat/>
    <w:rPr>
      <w:rFonts w:cs="Symbol"/>
    </w:rPr>
  </w:style>
  <w:style w:type="character" w:styleId="ListLabel478">
    <w:name w:val="ListLabel 478"/>
    <w:qFormat/>
    <w:rPr>
      <w:rFonts w:cs="Courier New"/>
    </w:rPr>
  </w:style>
  <w:style w:type="character" w:styleId="ListLabel479">
    <w:name w:val="ListLabel 479"/>
    <w:qFormat/>
    <w:rPr>
      <w:rFonts w:cs="Wingdings"/>
    </w:rPr>
  </w:style>
  <w:style w:type="character" w:styleId="ListLabel480">
    <w:name w:val="ListLabel 480"/>
    <w:qFormat/>
    <w:rPr>
      <w:rFonts w:ascii="Bookman Old Style" w:hAnsi="Bookman Old Style" w:cs="Courier New"/>
      <w:b/>
      <w:sz w:val="24"/>
    </w:rPr>
  </w:style>
  <w:style w:type="character" w:styleId="ListLabel481">
    <w:name w:val="ListLabel 481"/>
    <w:qFormat/>
    <w:rPr>
      <w:rFonts w:cs="Courier New"/>
    </w:rPr>
  </w:style>
  <w:style w:type="character" w:styleId="ListLabel482">
    <w:name w:val="ListLabel 482"/>
    <w:qFormat/>
    <w:rPr>
      <w:rFonts w:cs="Wingdings"/>
    </w:rPr>
  </w:style>
  <w:style w:type="character" w:styleId="ListLabel483">
    <w:name w:val="ListLabel 483"/>
    <w:qFormat/>
    <w:rPr>
      <w:rFonts w:cs="Symbol"/>
    </w:rPr>
  </w:style>
  <w:style w:type="character" w:styleId="ListLabel484">
    <w:name w:val="ListLabel 484"/>
    <w:qFormat/>
    <w:rPr>
      <w:rFonts w:cs="Courier New"/>
    </w:rPr>
  </w:style>
  <w:style w:type="character" w:styleId="ListLabel485">
    <w:name w:val="ListLabel 485"/>
    <w:qFormat/>
    <w:rPr>
      <w:rFonts w:cs="Wingdings"/>
    </w:rPr>
  </w:style>
  <w:style w:type="character" w:styleId="ListLabel486">
    <w:name w:val="ListLabel 486"/>
    <w:qFormat/>
    <w:rPr>
      <w:rFonts w:cs="Symbol"/>
    </w:rPr>
  </w:style>
  <w:style w:type="character" w:styleId="ListLabel487">
    <w:name w:val="ListLabel 487"/>
    <w:qFormat/>
    <w:rPr>
      <w:rFonts w:cs="Courier New"/>
    </w:rPr>
  </w:style>
  <w:style w:type="character" w:styleId="ListLabel488">
    <w:name w:val="ListLabel 488"/>
    <w:qFormat/>
    <w:rPr>
      <w:rFonts w:cs="Wingdings"/>
    </w:rPr>
  </w:style>
  <w:style w:type="character" w:styleId="ListLabel489">
    <w:name w:val="ListLabel 489"/>
    <w:qFormat/>
    <w:rPr>
      <w:rFonts w:ascii="Bookman Old Style" w:hAnsi="Bookman Old Style" w:cs="Courier New"/>
      <w:sz w:val="24"/>
    </w:rPr>
  </w:style>
  <w:style w:type="character" w:styleId="ListLabel490">
    <w:name w:val="ListLabel 490"/>
    <w:qFormat/>
    <w:rPr>
      <w:rFonts w:cs="Courier New"/>
    </w:rPr>
  </w:style>
  <w:style w:type="character" w:styleId="ListLabel491">
    <w:name w:val="ListLabel 491"/>
    <w:qFormat/>
    <w:rPr>
      <w:rFonts w:cs="Wingdings"/>
    </w:rPr>
  </w:style>
  <w:style w:type="character" w:styleId="ListLabel492">
    <w:name w:val="ListLabel 492"/>
    <w:qFormat/>
    <w:rPr>
      <w:rFonts w:cs="Symbol"/>
    </w:rPr>
  </w:style>
  <w:style w:type="character" w:styleId="ListLabel493">
    <w:name w:val="ListLabel 493"/>
    <w:qFormat/>
    <w:rPr>
      <w:rFonts w:cs="Courier New"/>
    </w:rPr>
  </w:style>
  <w:style w:type="character" w:styleId="ListLabel494">
    <w:name w:val="ListLabel 494"/>
    <w:qFormat/>
    <w:rPr>
      <w:rFonts w:cs="Wingdings"/>
    </w:rPr>
  </w:style>
  <w:style w:type="character" w:styleId="ListLabel495">
    <w:name w:val="ListLabel 495"/>
    <w:qFormat/>
    <w:rPr>
      <w:rFonts w:cs="Symbol"/>
    </w:rPr>
  </w:style>
  <w:style w:type="character" w:styleId="ListLabel496">
    <w:name w:val="ListLabel 496"/>
    <w:qFormat/>
    <w:rPr>
      <w:rFonts w:cs="Courier New"/>
    </w:rPr>
  </w:style>
  <w:style w:type="character" w:styleId="ListLabel497">
    <w:name w:val="ListLabel 497"/>
    <w:qFormat/>
    <w:rPr>
      <w:rFonts w:cs="Wingdings"/>
    </w:rPr>
  </w:style>
  <w:style w:type="character" w:styleId="ListLabel498">
    <w:name w:val="ListLabel 498"/>
    <w:qFormat/>
    <w:rPr>
      <w:rFonts w:ascii="Bookman Old Style" w:hAnsi="Bookman Old Style" w:cs="Courier New"/>
      <w:b/>
      <w:sz w:val="24"/>
    </w:rPr>
  </w:style>
  <w:style w:type="character" w:styleId="ListLabel499">
    <w:name w:val="ListLabel 499"/>
    <w:qFormat/>
    <w:rPr>
      <w:rFonts w:cs="Courier New"/>
    </w:rPr>
  </w:style>
  <w:style w:type="character" w:styleId="ListLabel500">
    <w:name w:val="ListLabel 500"/>
    <w:qFormat/>
    <w:rPr>
      <w:rFonts w:cs="Wingdings"/>
    </w:rPr>
  </w:style>
  <w:style w:type="character" w:styleId="ListLabel501">
    <w:name w:val="ListLabel 501"/>
    <w:qFormat/>
    <w:rPr>
      <w:rFonts w:cs="Symbol"/>
    </w:rPr>
  </w:style>
  <w:style w:type="character" w:styleId="ListLabel502">
    <w:name w:val="ListLabel 502"/>
    <w:qFormat/>
    <w:rPr>
      <w:rFonts w:cs="Courier New"/>
    </w:rPr>
  </w:style>
  <w:style w:type="character" w:styleId="ListLabel503">
    <w:name w:val="ListLabel 503"/>
    <w:qFormat/>
    <w:rPr>
      <w:rFonts w:cs="Wingdings"/>
    </w:rPr>
  </w:style>
  <w:style w:type="character" w:styleId="ListLabel504">
    <w:name w:val="ListLabel 504"/>
    <w:qFormat/>
    <w:rPr>
      <w:rFonts w:cs="Symbol"/>
    </w:rPr>
  </w:style>
  <w:style w:type="character" w:styleId="ListLabel505">
    <w:name w:val="ListLabel 505"/>
    <w:qFormat/>
    <w:rPr>
      <w:rFonts w:cs="Courier New"/>
    </w:rPr>
  </w:style>
  <w:style w:type="character" w:styleId="ListLabel506">
    <w:name w:val="ListLabel 506"/>
    <w:qFormat/>
    <w:rPr>
      <w:rFonts w:cs="Wingdings"/>
    </w:rPr>
  </w:style>
  <w:style w:type="character" w:styleId="ListLabel507">
    <w:name w:val="ListLabel 507"/>
    <w:qFormat/>
    <w:rPr>
      <w:rFonts w:ascii="Bookman Old Style" w:hAnsi="Bookman Old Style" w:cs="Courier New"/>
      <w:sz w:val="24"/>
    </w:rPr>
  </w:style>
  <w:style w:type="character" w:styleId="ListLabel508">
    <w:name w:val="ListLabel 508"/>
    <w:qFormat/>
    <w:rPr>
      <w:rFonts w:cs="Courier New"/>
    </w:rPr>
  </w:style>
  <w:style w:type="character" w:styleId="ListLabel509">
    <w:name w:val="ListLabel 509"/>
    <w:qFormat/>
    <w:rPr>
      <w:rFonts w:cs="Wingdings"/>
    </w:rPr>
  </w:style>
  <w:style w:type="character" w:styleId="ListLabel510">
    <w:name w:val="ListLabel 510"/>
    <w:qFormat/>
    <w:rPr>
      <w:rFonts w:cs="Symbol"/>
    </w:rPr>
  </w:style>
  <w:style w:type="character" w:styleId="ListLabel511">
    <w:name w:val="ListLabel 511"/>
    <w:qFormat/>
    <w:rPr>
      <w:rFonts w:cs="Courier New"/>
    </w:rPr>
  </w:style>
  <w:style w:type="character" w:styleId="ListLabel512">
    <w:name w:val="ListLabel 512"/>
    <w:qFormat/>
    <w:rPr>
      <w:rFonts w:cs="Wingdings"/>
    </w:rPr>
  </w:style>
  <w:style w:type="character" w:styleId="ListLabel513">
    <w:name w:val="ListLabel 513"/>
    <w:qFormat/>
    <w:rPr>
      <w:rFonts w:cs="Symbol"/>
    </w:rPr>
  </w:style>
  <w:style w:type="character" w:styleId="ListLabel514">
    <w:name w:val="ListLabel 514"/>
    <w:qFormat/>
    <w:rPr>
      <w:rFonts w:cs="Courier New"/>
    </w:rPr>
  </w:style>
  <w:style w:type="character" w:styleId="ListLabel515">
    <w:name w:val="ListLabel 515"/>
    <w:qFormat/>
    <w:rPr>
      <w:rFonts w:cs="Wingdings"/>
    </w:rPr>
  </w:style>
  <w:style w:type="character" w:styleId="ListLabel516">
    <w:name w:val="ListLabel 516"/>
    <w:qFormat/>
    <w:rPr>
      <w:rFonts w:ascii="Bookman Old Style" w:hAnsi="Bookman Old Style" w:cs="Courier New"/>
      <w:b/>
      <w:sz w:val="24"/>
    </w:rPr>
  </w:style>
  <w:style w:type="character" w:styleId="ListLabel517">
    <w:name w:val="ListLabel 517"/>
    <w:qFormat/>
    <w:rPr>
      <w:rFonts w:cs="Courier New"/>
    </w:rPr>
  </w:style>
  <w:style w:type="character" w:styleId="ListLabel518">
    <w:name w:val="ListLabel 518"/>
    <w:qFormat/>
    <w:rPr>
      <w:rFonts w:cs="Wingdings"/>
    </w:rPr>
  </w:style>
  <w:style w:type="character" w:styleId="ListLabel519">
    <w:name w:val="ListLabel 519"/>
    <w:qFormat/>
    <w:rPr>
      <w:rFonts w:cs="Symbol"/>
    </w:rPr>
  </w:style>
  <w:style w:type="character" w:styleId="ListLabel520">
    <w:name w:val="ListLabel 520"/>
    <w:qFormat/>
    <w:rPr>
      <w:rFonts w:cs="Courier New"/>
    </w:rPr>
  </w:style>
  <w:style w:type="character" w:styleId="ListLabel521">
    <w:name w:val="ListLabel 521"/>
    <w:qFormat/>
    <w:rPr>
      <w:rFonts w:cs="Wingdings"/>
    </w:rPr>
  </w:style>
  <w:style w:type="character" w:styleId="ListLabel522">
    <w:name w:val="ListLabel 522"/>
    <w:qFormat/>
    <w:rPr>
      <w:rFonts w:cs="Symbol"/>
    </w:rPr>
  </w:style>
  <w:style w:type="character" w:styleId="ListLabel523">
    <w:name w:val="ListLabel 523"/>
    <w:qFormat/>
    <w:rPr>
      <w:rFonts w:cs="Courier New"/>
    </w:rPr>
  </w:style>
  <w:style w:type="character" w:styleId="ListLabel524">
    <w:name w:val="ListLabel 524"/>
    <w:qFormat/>
    <w:rPr>
      <w:rFonts w:cs="Wingdings"/>
    </w:rPr>
  </w:style>
  <w:style w:type="character" w:styleId="ListLabel525">
    <w:name w:val="ListLabel 525"/>
    <w:qFormat/>
    <w:rPr>
      <w:rFonts w:ascii="Bookman Old Style" w:hAnsi="Bookman Old Style" w:cs="Courier New"/>
      <w:sz w:val="24"/>
    </w:rPr>
  </w:style>
  <w:style w:type="character" w:styleId="ListLabel526">
    <w:name w:val="ListLabel 526"/>
    <w:qFormat/>
    <w:rPr>
      <w:rFonts w:cs="Courier New"/>
    </w:rPr>
  </w:style>
  <w:style w:type="character" w:styleId="ListLabel527">
    <w:name w:val="ListLabel 527"/>
    <w:qFormat/>
    <w:rPr>
      <w:rFonts w:cs="Wingdings"/>
    </w:rPr>
  </w:style>
  <w:style w:type="character" w:styleId="ListLabel528">
    <w:name w:val="ListLabel 528"/>
    <w:qFormat/>
    <w:rPr>
      <w:rFonts w:cs="Symbol"/>
    </w:rPr>
  </w:style>
  <w:style w:type="character" w:styleId="ListLabel529">
    <w:name w:val="ListLabel 529"/>
    <w:qFormat/>
    <w:rPr>
      <w:rFonts w:cs="Courier New"/>
    </w:rPr>
  </w:style>
  <w:style w:type="character" w:styleId="ListLabel530">
    <w:name w:val="ListLabel 530"/>
    <w:qFormat/>
    <w:rPr>
      <w:rFonts w:cs="Wingdings"/>
    </w:rPr>
  </w:style>
  <w:style w:type="character" w:styleId="ListLabel531">
    <w:name w:val="ListLabel 531"/>
    <w:qFormat/>
    <w:rPr>
      <w:rFonts w:cs="Symbol"/>
    </w:rPr>
  </w:style>
  <w:style w:type="character" w:styleId="ListLabel532">
    <w:name w:val="ListLabel 532"/>
    <w:qFormat/>
    <w:rPr>
      <w:rFonts w:cs="Courier New"/>
    </w:rPr>
  </w:style>
  <w:style w:type="character" w:styleId="ListLabel533">
    <w:name w:val="ListLabel 533"/>
    <w:qFormat/>
    <w:rPr>
      <w:rFonts w:cs="Wingdings"/>
    </w:rPr>
  </w:style>
  <w:style w:type="character" w:styleId="ListLabel534">
    <w:name w:val="ListLabel 534"/>
    <w:qFormat/>
    <w:rPr>
      <w:rFonts w:ascii="Bookman Old Style" w:hAnsi="Bookman Old Style" w:cs="Courier New"/>
      <w:b/>
      <w:sz w:val="24"/>
    </w:rPr>
  </w:style>
  <w:style w:type="character" w:styleId="ListLabel535">
    <w:name w:val="ListLabel 535"/>
    <w:qFormat/>
    <w:rPr>
      <w:rFonts w:cs="Courier New"/>
    </w:rPr>
  </w:style>
  <w:style w:type="character" w:styleId="ListLabel536">
    <w:name w:val="ListLabel 536"/>
    <w:qFormat/>
    <w:rPr>
      <w:rFonts w:cs="Wingdings"/>
    </w:rPr>
  </w:style>
  <w:style w:type="character" w:styleId="ListLabel537">
    <w:name w:val="ListLabel 537"/>
    <w:qFormat/>
    <w:rPr>
      <w:rFonts w:cs="Symbol"/>
    </w:rPr>
  </w:style>
  <w:style w:type="character" w:styleId="ListLabel538">
    <w:name w:val="ListLabel 538"/>
    <w:qFormat/>
    <w:rPr>
      <w:rFonts w:cs="Courier New"/>
    </w:rPr>
  </w:style>
  <w:style w:type="character" w:styleId="ListLabel539">
    <w:name w:val="ListLabel 539"/>
    <w:qFormat/>
    <w:rPr>
      <w:rFonts w:cs="Wingdings"/>
    </w:rPr>
  </w:style>
  <w:style w:type="character" w:styleId="ListLabel540">
    <w:name w:val="ListLabel 540"/>
    <w:qFormat/>
    <w:rPr>
      <w:rFonts w:cs="Symbol"/>
    </w:rPr>
  </w:style>
  <w:style w:type="character" w:styleId="ListLabel541">
    <w:name w:val="ListLabel 541"/>
    <w:qFormat/>
    <w:rPr>
      <w:rFonts w:cs="Courier New"/>
    </w:rPr>
  </w:style>
  <w:style w:type="character" w:styleId="ListLabel542">
    <w:name w:val="ListLabel 542"/>
    <w:qFormat/>
    <w:rPr>
      <w:rFonts w:cs="Wingdings"/>
    </w:rPr>
  </w:style>
  <w:style w:type="character" w:styleId="ListLabel543">
    <w:name w:val="ListLabel 543"/>
    <w:qFormat/>
    <w:rPr>
      <w:rFonts w:ascii="Bookman Old Style" w:hAnsi="Bookman Old Style" w:cs="Courier New"/>
      <w:sz w:val="24"/>
    </w:rPr>
  </w:style>
  <w:style w:type="character" w:styleId="ListLabel544">
    <w:name w:val="ListLabel 544"/>
    <w:qFormat/>
    <w:rPr>
      <w:rFonts w:cs="Courier New"/>
    </w:rPr>
  </w:style>
  <w:style w:type="character" w:styleId="ListLabel545">
    <w:name w:val="ListLabel 545"/>
    <w:qFormat/>
    <w:rPr>
      <w:rFonts w:cs="Wingdings"/>
    </w:rPr>
  </w:style>
  <w:style w:type="character" w:styleId="ListLabel546">
    <w:name w:val="ListLabel 546"/>
    <w:qFormat/>
    <w:rPr>
      <w:rFonts w:cs="Symbol"/>
    </w:rPr>
  </w:style>
  <w:style w:type="character" w:styleId="ListLabel547">
    <w:name w:val="ListLabel 547"/>
    <w:qFormat/>
    <w:rPr>
      <w:rFonts w:cs="Courier New"/>
    </w:rPr>
  </w:style>
  <w:style w:type="character" w:styleId="ListLabel548">
    <w:name w:val="ListLabel 548"/>
    <w:qFormat/>
    <w:rPr>
      <w:rFonts w:cs="Wingdings"/>
    </w:rPr>
  </w:style>
  <w:style w:type="character" w:styleId="ListLabel549">
    <w:name w:val="ListLabel 549"/>
    <w:qFormat/>
    <w:rPr>
      <w:rFonts w:cs="Symbol"/>
    </w:rPr>
  </w:style>
  <w:style w:type="character" w:styleId="ListLabel550">
    <w:name w:val="ListLabel 550"/>
    <w:qFormat/>
    <w:rPr>
      <w:rFonts w:cs="Courier New"/>
    </w:rPr>
  </w:style>
  <w:style w:type="character" w:styleId="ListLabel551">
    <w:name w:val="ListLabel 551"/>
    <w:qFormat/>
    <w:rPr>
      <w:rFonts w:cs="Wingdings"/>
    </w:rPr>
  </w:style>
  <w:style w:type="character" w:styleId="ListLabel552">
    <w:name w:val="ListLabel 552"/>
    <w:qFormat/>
    <w:rPr>
      <w:rFonts w:ascii="Bookman Old Style" w:hAnsi="Bookman Old Style" w:cs="Courier New"/>
      <w:b/>
      <w:sz w:val="24"/>
    </w:rPr>
  </w:style>
  <w:style w:type="character" w:styleId="ListLabel553">
    <w:name w:val="ListLabel 553"/>
    <w:qFormat/>
    <w:rPr>
      <w:rFonts w:cs="Courier New"/>
    </w:rPr>
  </w:style>
  <w:style w:type="character" w:styleId="ListLabel554">
    <w:name w:val="ListLabel 554"/>
    <w:qFormat/>
    <w:rPr>
      <w:rFonts w:cs="Wingdings"/>
    </w:rPr>
  </w:style>
  <w:style w:type="character" w:styleId="ListLabel555">
    <w:name w:val="ListLabel 555"/>
    <w:qFormat/>
    <w:rPr>
      <w:rFonts w:cs="Symbol"/>
    </w:rPr>
  </w:style>
  <w:style w:type="character" w:styleId="ListLabel556">
    <w:name w:val="ListLabel 556"/>
    <w:qFormat/>
    <w:rPr>
      <w:rFonts w:cs="Courier New"/>
    </w:rPr>
  </w:style>
  <w:style w:type="character" w:styleId="ListLabel557">
    <w:name w:val="ListLabel 557"/>
    <w:qFormat/>
    <w:rPr>
      <w:rFonts w:cs="Wingdings"/>
    </w:rPr>
  </w:style>
  <w:style w:type="character" w:styleId="ListLabel558">
    <w:name w:val="ListLabel 558"/>
    <w:qFormat/>
    <w:rPr>
      <w:rFonts w:cs="Symbol"/>
    </w:rPr>
  </w:style>
  <w:style w:type="character" w:styleId="ListLabel559">
    <w:name w:val="ListLabel 559"/>
    <w:qFormat/>
    <w:rPr>
      <w:rFonts w:cs="Courier New"/>
    </w:rPr>
  </w:style>
  <w:style w:type="character" w:styleId="ListLabel560">
    <w:name w:val="ListLabel 560"/>
    <w:qFormat/>
    <w:rPr>
      <w:rFonts w:cs="Wingdings"/>
    </w:rPr>
  </w:style>
  <w:style w:type="character" w:styleId="ListLabel561">
    <w:name w:val="ListLabel 561"/>
    <w:qFormat/>
    <w:rPr>
      <w:rFonts w:ascii="Bookman Old Style" w:hAnsi="Bookman Old Style" w:cs="Courier New"/>
      <w:sz w:val="24"/>
    </w:rPr>
  </w:style>
  <w:style w:type="character" w:styleId="ListLabel562">
    <w:name w:val="ListLabel 562"/>
    <w:qFormat/>
    <w:rPr>
      <w:rFonts w:cs="Courier New"/>
    </w:rPr>
  </w:style>
  <w:style w:type="character" w:styleId="ListLabel563">
    <w:name w:val="ListLabel 563"/>
    <w:qFormat/>
    <w:rPr>
      <w:rFonts w:cs="Wingdings"/>
    </w:rPr>
  </w:style>
  <w:style w:type="character" w:styleId="ListLabel564">
    <w:name w:val="ListLabel 564"/>
    <w:qFormat/>
    <w:rPr>
      <w:rFonts w:cs="Symbol"/>
    </w:rPr>
  </w:style>
  <w:style w:type="character" w:styleId="ListLabel565">
    <w:name w:val="ListLabel 565"/>
    <w:qFormat/>
    <w:rPr>
      <w:rFonts w:cs="Courier New"/>
    </w:rPr>
  </w:style>
  <w:style w:type="character" w:styleId="ListLabel566">
    <w:name w:val="ListLabel 566"/>
    <w:qFormat/>
    <w:rPr>
      <w:rFonts w:cs="Wingdings"/>
    </w:rPr>
  </w:style>
  <w:style w:type="character" w:styleId="ListLabel567">
    <w:name w:val="ListLabel 567"/>
    <w:qFormat/>
    <w:rPr>
      <w:rFonts w:cs="Symbol"/>
    </w:rPr>
  </w:style>
  <w:style w:type="character" w:styleId="ListLabel568">
    <w:name w:val="ListLabel 568"/>
    <w:qFormat/>
    <w:rPr>
      <w:rFonts w:cs="Courier New"/>
    </w:rPr>
  </w:style>
  <w:style w:type="character" w:styleId="ListLabel569">
    <w:name w:val="ListLabel 569"/>
    <w:qFormat/>
    <w:rPr>
      <w:rFonts w:cs="Wingdings"/>
    </w:rPr>
  </w:style>
  <w:style w:type="character" w:styleId="Style16">
    <w:name w:val="Маркеры списка"/>
    <w:qFormat/>
    <w:rPr>
      <w:rFonts w:ascii="OpenSymbol" w:hAnsi="OpenSymbol" w:eastAsia="OpenSymbol" w:cs="OpenSymbol"/>
    </w:rPr>
  </w:style>
  <w:style w:type="character" w:styleId="ListLabel570">
    <w:name w:val="ListLabel 570"/>
    <w:qFormat/>
    <w:rPr>
      <w:rFonts w:ascii="Bookman Old Style" w:hAnsi="Bookman Old Style" w:cs="Courier New"/>
      <w:b/>
      <w:sz w:val="24"/>
    </w:rPr>
  </w:style>
  <w:style w:type="character" w:styleId="ListLabel571">
    <w:name w:val="ListLabel 571"/>
    <w:qFormat/>
    <w:rPr>
      <w:rFonts w:cs="Courier New"/>
    </w:rPr>
  </w:style>
  <w:style w:type="character" w:styleId="ListLabel572">
    <w:name w:val="ListLabel 572"/>
    <w:qFormat/>
    <w:rPr>
      <w:rFonts w:cs="Wingdings"/>
    </w:rPr>
  </w:style>
  <w:style w:type="character" w:styleId="ListLabel573">
    <w:name w:val="ListLabel 573"/>
    <w:qFormat/>
    <w:rPr>
      <w:rFonts w:cs="Symbol"/>
    </w:rPr>
  </w:style>
  <w:style w:type="character" w:styleId="ListLabel574">
    <w:name w:val="ListLabel 574"/>
    <w:qFormat/>
    <w:rPr>
      <w:rFonts w:cs="Courier New"/>
    </w:rPr>
  </w:style>
  <w:style w:type="character" w:styleId="ListLabel575">
    <w:name w:val="ListLabel 575"/>
    <w:qFormat/>
    <w:rPr>
      <w:rFonts w:cs="Wingdings"/>
    </w:rPr>
  </w:style>
  <w:style w:type="character" w:styleId="ListLabel576">
    <w:name w:val="ListLabel 576"/>
    <w:qFormat/>
    <w:rPr>
      <w:rFonts w:cs="Symbol"/>
    </w:rPr>
  </w:style>
  <w:style w:type="character" w:styleId="ListLabel577">
    <w:name w:val="ListLabel 577"/>
    <w:qFormat/>
    <w:rPr>
      <w:rFonts w:cs="Courier New"/>
    </w:rPr>
  </w:style>
  <w:style w:type="character" w:styleId="ListLabel578">
    <w:name w:val="ListLabel 578"/>
    <w:qFormat/>
    <w:rPr>
      <w:rFonts w:cs="Wingdings"/>
    </w:rPr>
  </w:style>
  <w:style w:type="paragraph" w:styleId="Style17">
    <w:name w:val="Заголовок"/>
    <w:basedOn w:val="Normal"/>
    <w:next w:val="Style18"/>
    <w:qFormat/>
    <w:pPr>
      <w:keepNext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Style18">
    <w:name w:val="Body Text"/>
    <w:basedOn w:val="Normal"/>
    <w:pPr>
      <w:spacing w:lineRule="auto" w:line="288" w:before="0" w:after="140"/>
    </w:pPr>
    <w:rPr/>
  </w:style>
  <w:style w:type="paragraph" w:styleId="Style19">
    <w:name w:val="List"/>
    <w:basedOn w:val="Style18"/>
    <w:pPr/>
    <w:rPr>
      <w:rFonts w:cs="Arial"/>
    </w:rPr>
  </w:style>
  <w:style w:type="paragraph" w:styleId="Style20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Style21">
    <w:name w:val="Указатель"/>
    <w:basedOn w:val="Normal"/>
    <w:qFormat/>
    <w:pPr>
      <w:suppressLineNumbers/>
    </w:pPr>
    <w:rPr>
      <w:rFonts w:cs="Arial"/>
    </w:rPr>
  </w:style>
  <w:style w:type="paragraph" w:styleId="Style22">
    <w:name w:val="Header"/>
    <w:basedOn w:val="Normal"/>
    <w:pPr>
      <w:tabs>
        <w:tab w:val="center" w:pos="4677" w:leader="none"/>
        <w:tab w:val="right" w:pos="9355" w:leader="none"/>
      </w:tabs>
    </w:pPr>
    <w:rPr/>
  </w:style>
  <w:style w:type="paragraph" w:styleId="Style23">
    <w:name w:val="Footer"/>
    <w:basedOn w:val="Normal"/>
    <w:pPr>
      <w:tabs>
        <w:tab w:val="center" w:pos="4677" w:leader="none"/>
        <w:tab w:val="right" w:pos="9355" w:leader="none"/>
      </w:tabs>
    </w:pPr>
    <w:rPr/>
  </w:style>
  <w:style w:type="paragraph" w:styleId="BalloonText">
    <w:name w:val="Balloon Text"/>
    <w:basedOn w:val="Normal"/>
    <w:qFormat/>
    <w:pPr/>
    <w:rPr>
      <w:rFonts w:ascii="Tahoma" w:hAnsi="Tahoma" w:cs="Tahoma"/>
      <w:sz w:val="16"/>
      <w:szCs w:val="16"/>
    </w:rPr>
  </w:style>
  <w:style w:type="paragraph" w:styleId="Default">
    <w:name w:val="Default"/>
    <w:qFormat/>
    <w:pPr>
      <w:widowControl/>
      <w:overflowPunct w:val="false"/>
      <w:bidi w:val="0"/>
      <w:jc w:val="left"/>
    </w:pPr>
    <w:rPr>
      <w:rFonts w:ascii="Times New Roman" w:hAnsi="Times New Roman" w:eastAsia="Calibri" w:cs="Times New Roman"/>
      <w:color w:val="000000"/>
      <w:sz w:val="24"/>
      <w:szCs w:val="24"/>
      <w:lang w:val="ru-RU" w:eastAsia="en-US" w:bidi="ar-SA"/>
    </w:rPr>
  </w:style>
  <w:style w:type="paragraph" w:styleId="Style24">
    <w:name w:val="Содержимое таблицы"/>
    <w:basedOn w:val="Normal"/>
    <w:qFormat/>
    <w:pPr/>
    <w:rPr/>
  </w:style>
  <w:style w:type="paragraph" w:styleId="Style25">
    <w:name w:val="Заголовок таблицы"/>
    <w:basedOn w:val="Style24"/>
    <w:qFormat/>
    <w:pPr/>
    <w:rPr/>
  </w:style>
  <w:style w:type="paragraph" w:styleId="Style26">
    <w:name w:val="Envelope Return"/>
    <w:basedOn w:val="Normal"/>
    <w:pPr/>
    <w:rPr/>
  </w:style>
  <w:style w:type="numbering" w:styleId="NoList">
    <w:name w:val="No List"/>
    <w:qFormat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hyperlink" Target="mailto:admin@admilinskoe.ru" TargetMode="External"/><Relationship Id="rId4" Type="http://schemas.openxmlformats.org/officeDocument/2006/relationships/hyperlink" Target="mailto:admin@admilinskoe.ru" TargetMode="External"/><Relationship Id="rId5" Type="http://schemas.openxmlformats.org/officeDocument/2006/relationships/hyperlink" Target="mailto:admin@admilinskoe.ru" TargetMode="External"/><Relationship Id="rId6" Type="http://schemas.openxmlformats.org/officeDocument/2006/relationships/hyperlink" Target="mailto:admin@admilinskoe.ru" TargetMode="External"/><Relationship Id="rId7" Type="http://schemas.openxmlformats.org/officeDocument/2006/relationships/hyperlink" Target="mailto:admin@admilinskoe.ru" TargetMode="External"/><Relationship Id="rId8" Type="http://schemas.openxmlformats.org/officeDocument/2006/relationships/hyperlink" Target="http://www.admilinskoe.ru/" TargetMode="External"/><Relationship Id="rId9" Type="http://schemas.openxmlformats.org/officeDocument/2006/relationships/hyperlink" Target="http://www.admilinskoe.ru/" TargetMode="External"/><Relationship Id="rId10" Type="http://schemas.openxmlformats.org/officeDocument/2006/relationships/hyperlink" Target="http://www.admilinskoe.ru/" TargetMode="External"/><Relationship Id="rId11" Type="http://schemas.openxmlformats.org/officeDocument/2006/relationships/hyperlink" Target="http://www.admilinskoe.ru/" TargetMode="External"/><Relationship Id="rId12" Type="http://schemas.openxmlformats.org/officeDocument/2006/relationships/hyperlink" Target="http://www.admilinskoe.ru/" TargetMode="External"/><Relationship Id="rId13" Type="http://schemas.openxmlformats.org/officeDocument/2006/relationships/image" Target="media/image2.png"/><Relationship Id="rId14" Type="http://schemas.openxmlformats.org/officeDocument/2006/relationships/image" Target="media/image3.png"/><Relationship Id="rId15" Type="http://schemas.openxmlformats.org/officeDocument/2006/relationships/image" Target="media/image4.png"/><Relationship Id="rId16" Type="http://schemas.openxmlformats.org/officeDocument/2006/relationships/image" Target="media/image5.png"/><Relationship Id="rId17" Type="http://schemas.openxmlformats.org/officeDocument/2006/relationships/footer" Target="footer1.xml"/><Relationship Id="rId18" Type="http://schemas.openxmlformats.org/officeDocument/2006/relationships/image" Target="media/image6.jpeg"/><Relationship Id="rId19" Type="http://schemas.openxmlformats.org/officeDocument/2006/relationships/footer" Target="footer2.xml"/><Relationship Id="rId20" Type="http://schemas.openxmlformats.org/officeDocument/2006/relationships/image" Target="media/image7.jpeg"/><Relationship Id="rId21" Type="http://schemas.openxmlformats.org/officeDocument/2006/relationships/footer" Target="footer3.xml"/><Relationship Id="rId22" Type="http://schemas.openxmlformats.org/officeDocument/2006/relationships/image" Target="media/image8.jpeg"/><Relationship Id="rId23" Type="http://schemas.openxmlformats.org/officeDocument/2006/relationships/footer" Target="footer4.xml"/><Relationship Id="rId24" Type="http://schemas.openxmlformats.org/officeDocument/2006/relationships/image" Target="media/image9.png"/><Relationship Id="rId25" Type="http://schemas.openxmlformats.org/officeDocument/2006/relationships/footer" Target="footer5.xml"/><Relationship Id="rId26" Type="http://schemas.openxmlformats.org/officeDocument/2006/relationships/image" Target="media/image10.jpeg"/><Relationship Id="rId27" Type="http://schemas.openxmlformats.org/officeDocument/2006/relationships/image" Target="media/image11.jpeg"/><Relationship Id="rId28" Type="http://schemas.openxmlformats.org/officeDocument/2006/relationships/image" Target="media/image12.jpeg"/><Relationship Id="rId29" Type="http://schemas.openxmlformats.org/officeDocument/2006/relationships/image" Target="media/image13.jpeg"/><Relationship Id="rId30" Type="http://schemas.openxmlformats.org/officeDocument/2006/relationships/image" Target="media/image14.jpeg"/><Relationship Id="rId31" Type="http://schemas.openxmlformats.org/officeDocument/2006/relationships/image" Target="media/image15.jpeg"/><Relationship Id="rId32" Type="http://schemas.openxmlformats.org/officeDocument/2006/relationships/image" Target="media/image16.jpeg"/><Relationship Id="rId33" Type="http://schemas.openxmlformats.org/officeDocument/2006/relationships/footer" Target="footer6.xml"/><Relationship Id="rId34" Type="http://schemas.openxmlformats.org/officeDocument/2006/relationships/image" Target="media/image17.png"/><Relationship Id="rId35" Type="http://schemas.openxmlformats.org/officeDocument/2006/relationships/image" Target="media/image18.png"/><Relationship Id="rId36" Type="http://schemas.openxmlformats.org/officeDocument/2006/relationships/image" Target="media/image19.jpeg"/><Relationship Id="rId37" Type="http://schemas.openxmlformats.org/officeDocument/2006/relationships/image" Target="media/image20.jpeg"/><Relationship Id="rId38" Type="http://schemas.openxmlformats.org/officeDocument/2006/relationships/image" Target="media/image21.jpeg"/><Relationship Id="rId39" Type="http://schemas.openxmlformats.org/officeDocument/2006/relationships/image" Target="media/image22.jpeg"/><Relationship Id="rId40" Type="http://schemas.openxmlformats.org/officeDocument/2006/relationships/footer" Target="footer7.xml"/><Relationship Id="rId41" Type="http://schemas.openxmlformats.org/officeDocument/2006/relationships/fontTable" Target="fontTable.xml"/><Relationship Id="rId42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5194</TotalTime>
  <Application>LibreOffice/5.2.3.3$Windows_X86_64 LibreOffice_project/d54a8868f08a7b39642414cf2c8ef2f228f780cf</Application>
  <Pages>35</Pages>
  <Words>4916</Words>
  <Characters>36468</Characters>
  <CharactersWithSpaces>41508</CharactersWithSpaces>
  <Paragraphs>711</Paragraphs>
  <Company>.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2014-02-04T07:35:00Z</dcterms:created>
  <dc:creator>.</dc:creator>
  <dc:description/>
  <dc:language>ru-RU</dc:language>
  <cp:lastModifiedBy/>
  <cp:lastPrinted>2021-07-30T10:27:03Z</cp:lastPrinted>
  <dcterms:modified xsi:type="dcterms:W3CDTF">2021-09-16T15:08:39Z</dcterms:modified>
  <cp:revision>125</cp:revision>
  <dc:subject/>
  <dc:title>ИНВЕСТИЦИОННЫЙ ПАСПОРТ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Company">
    <vt:lpwstr>.</vt:lpwstr>
  </property>
  <property fmtid="{D5CDD505-2E9C-101B-9397-08002B2CF9AE}" pid="4" name="DocSecurity">
    <vt:i4>0</vt:i4>
  </property>
  <property fmtid="{D5CDD505-2E9C-101B-9397-08002B2CF9AE}" pid="5" name="HyperlinksChanged">
    <vt:bool>0</vt:bool>
  </property>
  <property fmtid="{D5CDD505-2E9C-101B-9397-08002B2CF9AE}" pid="6" name="LinksUpToDate">
    <vt:bool>0</vt:bool>
  </property>
  <property fmtid="{D5CDD505-2E9C-101B-9397-08002B2CF9AE}" pid="7" name="ScaleCrop">
    <vt:bool>0</vt:bool>
  </property>
  <property fmtid="{D5CDD505-2E9C-101B-9397-08002B2CF9AE}" pid="8" name="ShareDoc">
    <vt:bool>0</vt:bool>
  </property>
</Properties>
</file>